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hd w:val="clear" w:color="ffffff" w:themeColor="background1" w:fill="ffffff" w:themeFill="background1"/>
        <w:spacing w:after="0" w:line="240" w:lineRule="auto"/>
        <w:ind w:left="283" w:right="0" w:firstLine="0"/>
        <w:jc w:val="center"/>
        <w:rPr>
          <w:rFonts w:eastAsia="Times New Roman"/>
          <w:sz w:val="20"/>
          <w:szCs w:val="20"/>
          <w:highlight w:val="white"/>
        </w:rPr>
      </w:pPr>
      <w:r>
        <w:rPr>
          <w:rFonts w:eastAsia="Times New Roman"/>
          <w:sz w:val="20"/>
          <w:szCs w:val="20"/>
          <w:highlight w:val="white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47700" cy="886075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47700" cy="886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1.00pt;height:69.77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rFonts w:eastAsia="Times New Roman"/>
          <w:sz w:val="20"/>
          <w:szCs w:val="20"/>
          <w:highlight w:val="white"/>
        </w:rPr>
      </w:r>
      <w:r>
        <w:rPr>
          <w:rFonts w:eastAsia="Times New Roman"/>
          <w:sz w:val="20"/>
          <w:szCs w:val="20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ind w:left="283" w:right="0" w:firstLine="0"/>
        <w:jc w:val="center"/>
        <w:rPr>
          <w:rFonts w:eastAsia="Times New Roman"/>
          <w:b/>
          <w:sz w:val="24"/>
          <w:szCs w:val="24"/>
          <w:highlight w:val="white"/>
        </w:rPr>
      </w:pPr>
      <w:r>
        <w:rPr>
          <w:rFonts w:eastAsia="Times New Roman"/>
          <w:b/>
          <w:sz w:val="24"/>
          <w:szCs w:val="24"/>
          <w:highlight w:val="white"/>
          <w:lang w:val="en-US" w:eastAsia="ru-RU"/>
        </w:rPr>
      </w:r>
      <w:r>
        <w:rPr>
          <w:rFonts w:eastAsia="Times New Roman"/>
          <w:b/>
          <w:sz w:val="24"/>
          <w:szCs w:val="24"/>
          <w:highlight w:val="white"/>
        </w:rPr>
      </w:r>
      <w:r>
        <w:rPr>
          <w:rFonts w:eastAsia="Times New Roman"/>
          <w:b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ind w:left="283" w:right="0" w:firstLine="0"/>
        <w:jc w:val="center"/>
        <w:rPr>
          <w:rFonts w:eastAsia="Times New Roman"/>
          <w:b/>
          <w:highlight w:val="white"/>
        </w:rPr>
      </w:pPr>
      <w:r>
        <w:rPr>
          <w:rFonts w:eastAsia="Times New Roman"/>
          <w:b/>
          <w:highlight w:val="white"/>
          <w:lang w:eastAsia="ru-RU"/>
        </w:rPr>
        <w:t xml:space="preserve">БЕЛОЯРСКИЙ РАЙОН</w:t>
      </w:r>
      <w:r>
        <w:rPr>
          <w:rFonts w:eastAsia="Times New Roman"/>
          <w:b/>
          <w:highlight w:val="white"/>
        </w:rPr>
      </w:r>
      <w:r>
        <w:rPr>
          <w:rFonts w:eastAsia="Times New Roman"/>
          <w:b/>
          <w:highlight w:val="white"/>
        </w:rPr>
      </w:r>
    </w:p>
    <w:p>
      <w:pPr>
        <w:keepNext/>
        <w:shd w:val="clear" w:color="ffffff" w:themeColor="background1" w:fill="ffffff" w:themeFill="background1"/>
        <w:spacing w:after="0" w:line="240" w:lineRule="auto"/>
        <w:ind w:left="283" w:right="0" w:firstLine="0"/>
        <w:jc w:val="center"/>
        <w:outlineLvl w:val="2"/>
        <w:rPr>
          <w:rFonts w:eastAsia="Times New Roman"/>
          <w:b/>
          <w:sz w:val="24"/>
          <w:szCs w:val="24"/>
          <w:highlight w:val="white"/>
        </w:rPr>
      </w:pPr>
      <w:r>
        <w:rPr>
          <w:rFonts w:eastAsia="Times New Roman"/>
          <w:b/>
          <w:sz w:val="20"/>
          <w:szCs w:val="20"/>
          <w:highlight w:val="white"/>
          <w:lang w:eastAsia="ru-RU"/>
        </w:rPr>
        <w:t xml:space="preserve">ХАНТЫ-МАНСИЙСКИЙ АВТОНОМНЫЙ ОКРУГ – ЮГРА</w:t>
      </w:r>
      <w:r>
        <w:rPr>
          <w:rFonts w:eastAsia="Times New Roman"/>
          <w:b/>
          <w:sz w:val="24"/>
          <w:szCs w:val="24"/>
          <w:highlight w:val="white"/>
        </w:rPr>
      </w:r>
      <w:r>
        <w:rPr>
          <w:rFonts w:eastAsia="Times New Roman"/>
          <w:b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ind w:left="283" w:right="0" w:firstLine="0"/>
        <w:jc w:val="center"/>
        <w:rPr>
          <w:rFonts w:eastAsia="Times New Roman"/>
          <w:sz w:val="16"/>
          <w:szCs w:val="16"/>
          <w:highlight w:val="white"/>
        </w:rPr>
      </w:pPr>
      <w:r>
        <w:rPr>
          <w:rFonts w:eastAsia="Times New Roman"/>
          <w:sz w:val="16"/>
          <w:szCs w:val="16"/>
          <w:highlight w:val="white"/>
          <w:lang w:eastAsia="ru-RU"/>
        </w:rPr>
      </w:r>
      <w:r>
        <w:rPr>
          <w:rFonts w:eastAsia="Times New Roman"/>
          <w:sz w:val="16"/>
          <w:szCs w:val="16"/>
          <w:highlight w:val="white"/>
        </w:rPr>
      </w:r>
      <w:r>
        <w:rPr>
          <w:rFonts w:eastAsia="Times New Roman"/>
          <w:sz w:val="16"/>
          <w:szCs w:val="16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ind w:left="283" w:right="0" w:firstLine="0"/>
        <w:jc w:val="center"/>
        <w:rPr>
          <w:rFonts w:eastAsia="Times New Roman"/>
          <w:b/>
          <w:sz w:val="16"/>
          <w:szCs w:val="16"/>
          <w:highlight w:val="white"/>
        </w:rPr>
      </w:pPr>
      <w:r>
        <w:rPr>
          <w:rFonts w:eastAsia="Times New Roman"/>
          <w:b/>
          <w:sz w:val="16"/>
          <w:szCs w:val="16"/>
          <w:highlight w:val="white"/>
          <w:lang w:eastAsia="ru-RU"/>
        </w:rPr>
      </w:r>
      <w:r>
        <w:rPr>
          <w:rFonts w:eastAsia="Times New Roman"/>
          <w:b/>
          <w:sz w:val="16"/>
          <w:szCs w:val="16"/>
          <w:highlight w:val="white"/>
        </w:rPr>
      </w:r>
      <w:r>
        <w:rPr>
          <w:rFonts w:eastAsia="Times New Roman"/>
          <w:b/>
          <w:sz w:val="16"/>
          <w:szCs w:val="16"/>
          <w:highlight w:val="white"/>
        </w:rPr>
      </w:r>
    </w:p>
    <w:p>
      <w:pPr>
        <w:keepNext/>
        <w:shd w:val="clear" w:color="ffffff" w:themeColor="background1" w:fill="ffffff" w:themeFill="background1"/>
        <w:spacing w:after="0" w:line="240" w:lineRule="auto"/>
        <w:ind w:left="283" w:right="0" w:firstLine="0"/>
        <w:jc w:val="center"/>
        <w:outlineLvl w:val="0"/>
        <w:rPr>
          <w:rFonts w:eastAsia="Times New Roman"/>
          <w:b/>
          <w:sz w:val="28"/>
          <w:szCs w:val="28"/>
          <w:highlight w:val="white"/>
        </w:rPr>
      </w:pPr>
      <w:r>
        <w:rPr>
          <w:rFonts w:eastAsia="Times New Roman"/>
          <w:b/>
          <w:sz w:val="28"/>
          <w:szCs w:val="28"/>
          <w:highlight w:val="white"/>
          <w:lang w:eastAsia="ru-RU"/>
        </w:rPr>
        <w:t xml:space="preserve">АДМИНИСТРАЦИЯ БЕЛОЯРСКОГО РАЙОНА</w:t>
      </w:r>
      <w:r>
        <w:rPr>
          <w:rFonts w:eastAsia="Times New Roman"/>
          <w:b/>
          <w:sz w:val="28"/>
          <w:szCs w:val="28"/>
          <w:highlight w:val="white"/>
        </w:rPr>
      </w:r>
      <w:r>
        <w:rPr>
          <w:rFonts w:eastAsia="Times New Roman"/>
          <w:b/>
          <w:sz w:val="28"/>
          <w:szCs w:val="28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ind w:left="283" w:right="0" w:firstLine="0"/>
        <w:jc w:val="center"/>
        <w:rPr>
          <w:rFonts w:eastAsia="Times New Roman"/>
          <w:b/>
          <w:sz w:val="16"/>
          <w:szCs w:val="16"/>
          <w:highlight w:val="white"/>
        </w:rPr>
      </w:pPr>
      <w:r>
        <w:rPr>
          <w:rFonts w:eastAsia="Times New Roman"/>
          <w:b/>
          <w:sz w:val="16"/>
          <w:szCs w:val="16"/>
          <w:highlight w:val="white"/>
          <w:lang w:eastAsia="ru-RU"/>
        </w:rPr>
      </w:r>
      <w:r>
        <w:rPr>
          <w:rFonts w:eastAsia="Times New Roman"/>
          <w:b/>
          <w:sz w:val="16"/>
          <w:szCs w:val="16"/>
          <w:highlight w:val="white"/>
        </w:rPr>
      </w:r>
      <w:r>
        <w:rPr>
          <w:rFonts w:eastAsia="Times New Roman"/>
          <w:b/>
          <w:sz w:val="16"/>
          <w:szCs w:val="16"/>
          <w:highlight w:val="white"/>
        </w:rPr>
      </w:r>
    </w:p>
    <w:p>
      <w:pPr>
        <w:pStyle w:val="693"/>
        <w:shd w:val="clear" w:color="ffffff" w:themeColor="background1" w:fill="ffffff" w:themeFill="background1"/>
        <w:spacing w:line="240" w:lineRule="auto"/>
        <w:ind w:left="283" w:right="0" w:firstLine="0"/>
        <w:jc w:val="center"/>
        <w:rPr>
          <w:rFonts w:ascii="Times New Roman" w:hAnsi="Times New Roman"/>
          <w:b/>
          <w:color w:val="000000"/>
          <w:sz w:val="16"/>
          <w:szCs w:val="16"/>
          <w:highlight w:val="white"/>
        </w:rPr>
      </w:pPr>
      <w:r>
        <w:rPr>
          <w:rFonts w:ascii="Times New Roman" w:hAnsi="Times New Roman"/>
          <w:b/>
          <w:color w:val="000000"/>
          <w:sz w:val="16"/>
          <w:szCs w:val="16"/>
          <w:highlight w:val="white"/>
        </w:rPr>
      </w:r>
      <w:r>
        <w:rPr>
          <w:rFonts w:ascii="Times New Roman" w:hAnsi="Times New Roman"/>
          <w:b/>
          <w:color w:val="000000"/>
          <w:sz w:val="16"/>
          <w:szCs w:val="16"/>
          <w:highlight w:val="white"/>
        </w:rPr>
      </w:r>
      <w:r>
        <w:rPr>
          <w:rFonts w:ascii="Times New Roman" w:hAnsi="Times New Roman"/>
          <w:b/>
          <w:color w:val="000000"/>
          <w:sz w:val="16"/>
          <w:szCs w:val="16"/>
          <w:highlight w:val="white"/>
        </w:rPr>
      </w:r>
    </w:p>
    <w:p>
      <w:pPr>
        <w:pStyle w:val="693"/>
        <w:shd w:val="clear" w:color="ffffff" w:themeColor="background1" w:fill="ffffff" w:themeFill="background1"/>
        <w:spacing w:line="240" w:lineRule="auto"/>
        <w:ind w:left="283" w:right="0" w:firstLine="0"/>
        <w:jc w:val="center"/>
        <w:rPr>
          <w:rFonts w:ascii="Times New Roman" w:hAnsi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b/>
          <w:color w:val="000000"/>
          <w:sz w:val="28"/>
          <w:szCs w:val="28"/>
          <w:highlight w:val="white"/>
          <w:lang w:eastAsia="ru-RU"/>
        </w:rPr>
        <w:t xml:space="preserve">ПОСТАНОВЛЕНИЕ</w:t>
      </w:r>
      <w:r>
        <w:rPr>
          <w:rFonts w:ascii="Times New Roman" w:hAnsi="Times New Roman"/>
          <w:b/>
          <w:color w:val="000000"/>
          <w:sz w:val="28"/>
          <w:szCs w:val="28"/>
          <w:highlight w:val="white"/>
        </w:rPr>
      </w:r>
      <w:r>
        <w:rPr>
          <w:rFonts w:ascii="Times New Roman" w:hAnsi="Times New Roman"/>
          <w:b/>
          <w:color w:val="000000"/>
          <w:sz w:val="28"/>
          <w:szCs w:val="28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ind w:left="283" w:right="0" w:firstLine="0"/>
        <w:jc w:val="center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ind w:left="283" w:right="0" w:firstLine="0"/>
        <w:jc w:val="center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ind w:left="283" w:right="0" w:firstLine="0"/>
        <w:jc w:val="center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от 29 декабря 2025 года                                                                                                             № 914</w:t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ind w:left="283" w:right="0" w:firstLine="0"/>
        <w:jc w:val="center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ind w:left="283" w:right="0" w:firstLine="0"/>
        <w:jc w:val="center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ind w:left="283" w:right="0" w:firstLine="0"/>
        <w:jc w:val="center"/>
        <w:rPr>
          <w:rFonts w:eastAsia="Times New Roman"/>
          <w:b/>
          <w:bCs/>
          <w:sz w:val="24"/>
          <w:szCs w:val="24"/>
          <w:highlight w:val="white"/>
        </w:rPr>
      </w:pPr>
      <w:r>
        <w:rPr>
          <w:rFonts w:eastAsia="Times New Roman"/>
          <w:b/>
          <w:bCs/>
          <w:sz w:val="24"/>
          <w:szCs w:val="24"/>
          <w:highlight w:val="white"/>
          <w:lang w:eastAsia="ru-RU"/>
        </w:rPr>
        <w:t xml:space="preserve">О внесении изменений в приложение к постановлению</w:t>
      </w:r>
      <w:r>
        <w:rPr>
          <w:rFonts w:eastAsia="Times New Roman"/>
          <w:b/>
          <w:bCs/>
          <w:sz w:val="24"/>
          <w:szCs w:val="24"/>
          <w:highlight w:val="white"/>
        </w:rPr>
      </w:r>
      <w:r>
        <w:rPr>
          <w:rFonts w:eastAsia="Times New Roman"/>
          <w:b/>
          <w:bCs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ind w:left="283" w:right="0" w:firstLine="0"/>
        <w:jc w:val="center"/>
        <w:rPr>
          <w:rFonts w:eastAsia="Times New Roman"/>
          <w:b/>
          <w:bCs/>
          <w:sz w:val="24"/>
          <w:szCs w:val="24"/>
          <w:highlight w:val="white"/>
        </w:rPr>
      </w:pPr>
      <w:r>
        <w:rPr>
          <w:rFonts w:eastAsia="Times New Roman"/>
          <w:b/>
          <w:bCs/>
          <w:sz w:val="24"/>
          <w:szCs w:val="24"/>
          <w:highlight w:val="white"/>
          <w:lang w:eastAsia="ru-RU"/>
        </w:rPr>
        <w:t xml:space="preserve">администрации Белоярского района от 3 декабря 2024 года № 8</w:t>
      </w:r>
      <w:r>
        <w:rPr>
          <w:rFonts w:eastAsia="Times New Roman"/>
          <w:b/>
          <w:bCs/>
          <w:sz w:val="24"/>
          <w:szCs w:val="24"/>
          <w:highlight w:val="white"/>
          <w:lang w:eastAsia="ru-RU"/>
        </w:rPr>
        <w:t xml:space="preserve">25</w:t>
      </w:r>
      <w:r>
        <w:rPr>
          <w:rFonts w:eastAsia="Times New Roman"/>
          <w:b/>
          <w:bCs/>
          <w:sz w:val="24"/>
          <w:szCs w:val="24"/>
          <w:highlight w:val="white"/>
        </w:rPr>
      </w:r>
      <w:r>
        <w:rPr>
          <w:rFonts w:eastAsia="Times New Roman"/>
          <w:b/>
          <w:bCs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ind w:left="283" w:right="0" w:firstLine="0"/>
        <w:jc w:val="center"/>
        <w:rPr>
          <w:rFonts w:eastAsia="Times New Roman"/>
          <w:b/>
          <w:bCs/>
          <w:sz w:val="24"/>
          <w:szCs w:val="24"/>
          <w:highlight w:val="white"/>
        </w:rPr>
      </w:pPr>
      <w:r>
        <w:rPr>
          <w:rFonts w:eastAsia="Times New Roman"/>
          <w:b/>
          <w:bCs/>
          <w:sz w:val="24"/>
          <w:szCs w:val="24"/>
          <w:highlight w:val="white"/>
        </w:rPr>
      </w:r>
      <w:r>
        <w:rPr>
          <w:rFonts w:eastAsia="Times New Roman"/>
          <w:b/>
          <w:bCs/>
          <w:sz w:val="24"/>
          <w:szCs w:val="24"/>
          <w:highlight w:val="white"/>
        </w:rPr>
      </w:r>
      <w:r>
        <w:rPr>
          <w:rFonts w:eastAsia="Times New Roman"/>
          <w:b/>
          <w:bCs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ind w:left="283" w:right="0" w:firstLine="0"/>
        <w:jc w:val="center"/>
        <w:rPr>
          <w:rFonts w:eastAsia="Times New Roman"/>
          <w:b/>
          <w:bCs/>
          <w:sz w:val="24"/>
          <w:szCs w:val="24"/>
          <w:highlight w:val="white"/>
        </w:rPr>
      </w:pPr>
      <w:r>
        <w:rPr>
          <w:rFonts w:eastAsia="Times New Roman"/>
          <w:b/>
          <w:bCs/>
          <w:sz w:val="24"/>
          <w:szCs w:val="24"/>
          <w:highlight w:val="white"/>
        </w:rPr>
      </w:r>
      <w:r>
        <w:rPr>
          <w:rFonts w:eastAsia="Times New Roman"/>
          <w:b/>
          <w:bCs/>
          <w:sz w:val="24"/>
          <w:szCs w:val="24"/>
          <w:highlight w:val="white"/>
        </w:rPr>
      </w:r>
      <w:r>
        <w:rPr>
          <w:rFonts w:eastAsia="Times New Roman"/>
          <w:b/>
          <w:bCs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ind w:left="283" w:right="0" w:firstLine="0"/>
        <w:jc w:val="center"/>
        <w:rPr>
          <w:rFonts w:eastAsia="Times New Roman"/>
          <w:b/>
          <w:bCs/>
          <w:sz w:val="24"/>
          <w:szCs w:val="24"/>
          <w:highlight w:val="white"/>
        </w:rPr>
      </w:pPr>
      <w:r>
        <w:rPr>
          <w:rFonts w:eastAsia="Times New Roman"/>
          <w:b/>
          <w:bCs/>
          <w:sz w:val="24"/>
          <w:szCs w:val="24"/>
          <w:highlight w:val="white"/>
          <w:lang w:eastAsia="ru-RU"/>
        </w:rPr>
      </w:r>
      <w:r>
        <w:rPr>
          <w:rFonts w:eastAsia="Times New Roman"/>
          <w:b/>
          <w:bCs/>
          <w:sz w:val="24"/>
          <w:szCs w:val="24"/>
          <w:highlight w:val="white"/>
        </w:rPr>
      </w:r>
      <w:r>
        <w:rPr>
          <w:rFonts w:eastAsia="Times New Roman"/>
          <w:b/>
          <w:bCs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ind w:left="283" w:right="0" w:firstLine="709"/>
        <w:jc w:val="both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П о с т а н о в л я ю:</w:t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numPr>
          <w:numId w:val="1"/>
          <w:ilvl w:val="0"/>
        </w:numPr>
        <w:shd w:val="clear" w:color="ffffff" w:themeColor="background1" w:fill="ffffff" w:themeFill="background1"/>
        <w:tabs>
          <w:tab w:val="left" w:pos="1134" w:leader="none"/>
        </w:tabs>
        <w:spacing w:after="0" w:line="240" w:lineRule="auto"/>
        <w:ind w:left="283" w:right="0" w:firstLine="709"/>
        <w:jc w:val="both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Внести в приложение «Муниципальная программа Белоярского района «Развитие транспортной</w:t>
      </w:r>
      <w:r>
        <w:rPr>
          <w:rFonts w:eastAsia="Times New Roman"/>
          <w:sz w:val="24"/>
          <w:szCs w:val="24"/>
          <w:highlight w:val="white"/>
          <w:lang w:eastAsia="ru-RU"/>
        </w:rPr>
        <w:t xml:space="preserve"> </w:t>
      </w:r>
      <w:r>
        <w:rPr>
          <w:rFonts w:eastAsia="Times New Roman"/>
          <w:sz w:val="24"/>
          <w:szCs w:val="24"/>
          <w:highlight w:val="white"/>
          <w:lang w:eastAsia="ru-RU"/>
        </w:rPr>
        <w:t xml:space="preserve">системы Белоярского района» (далее – Программа) к постановлению администрации Белоярского района от 3 декабря 2024 года № 825 «Об утверждении муниципальной программы Белоярского района «Развитие транспортной системы Белоярского района» следующие изменения:</w:t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numPr>
          <w:numId w:val="2"/>
          <w:ilvl w:val="0"/>
        </w:numPr>
        <w:shd w:val="clear" w:color="ffffff" w:themeColor="background1" w:fill="ffffff" w:themeFill="background1"/>
        <w:tabs>
          <w:tab w:val="left" w:pos="1134" w:leader="none"/>
        </w:tabs>
        <w:spacing w:after="0" w:line="240" w:lineRule="auto"/>
        <w:ind w:left="283" w:right="0" w:firstLine="709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строку «</w:t>
      </w:r>
      <w:r>
        <w:rPr>
          <w:sz w:val="24"/>
          <w:szCs w:val="24"/>
          <w:highlight w:val="white"/>
        </w:rPr>
        <w:t xml:space="preserve">Куратор муниципальной программы</w:t>
      </w:r>
      <w:r>
        <w:rPr>
          <w:sz w:val="24"/>
          <w:szCs w:val="24"/>
          <w:highlight w:val="white"/>
        </w:rPr>
        <w:t xml:space="preserve">»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 xml:space="preserve">раздела 1 «Основные положения» Паспорта муниципальной программы Белоярского района </w:t>
      </w:r>
      <w:r>
        <w:rPr>
          <w:color w:val="000000"/>
          <w:sz w:val="24"/>
          <w:szCs w:val="24"/>
          <w:highlight w:val="white"/>
          <w:shd w:val="clear" w:color="auto" w:fill="ffffff"/>
          <w:lang w:eastAsia="zh-CN" w:bidi="ar"/>
        </w:rPr>
        <w:t xml:space="preserve">«</w:t>
      </w:r>
      <w:r>
        <w:rPr>
          <w:rFonts w:eastAsia="Times New Roman"/>
          <w:sz w:val="24"/>
          <w:szCs w:val="24"/>
          <w:highlight w:val="white"/>
          <w:lang w:eastAsia="ru-RU"/>
        </w:rPr>
        <w:t xml:space="preserve">Развитие транспортной системы Белоярского района</w:t>
      </w:r>
      <w:r>
        <w:rPr>
          <w:color w:val="000000"/>
          <w:sz w:val="24"/>
          <w:szCs w:val="24"/>
          <w:highlight w:val="white"/>
          <w:shd w:val="clear" w:color="auto" w:fill="ffffff"/>
          <w:lang w:eastAsia="zh-CN" w:bidi="ar"/>
        </w:rPr>
        <w:t xml:space="preserve">»</w:t>
      </w:r>
      <w:r>
        <w:rPr>
          <w:sz w:val="24"/>
          <w:szCs w:val="24"/>
          <w:highlight w:val="white"/>
        </w:rPr>
        <w:t xml:space="preserve"> (далее – Паспорт муниципальной программы) изложить в сл</w:t>
      </w:r>
      <w:r>
        <w:rPr>
          <w:sz w:val="24"/>
          <w:szCs w:val="24"/>
          <w:highlight w:val="white"/>
        </w:rPr>
        <w:t xml:space="preserve">едующей редакции:</w:t>
      </w:r>
      <w:r>
        <w:rPr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tabs>
          <w:tab w:val="left" w:pos="1134" w:leader="none"/>
        </w:tabs>
        <w:spacing w:after="0" w:line="240" w:lineRule="auto"/>
        <w:ind w:left="283" w:right="0" w:firstLine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«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tbl>
      <w:tblPr>
        <w:tblW w:w="9782" w:type="dxa"/>
        <w:tblInd w:w="28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4252"/>
        <w:gridCol w:w="5530"/>
      </w:tblGrid>
      <w:tr>
        <w:trPr>
          <w:trHeight w:val="356"/>
        </w:trPr>
        <w:tblPrEx/>
        <w:tc>
          <w:tcPr>
            <w:tcW w:w="4252" w:type="dxa"/>
            <w:tcBorders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/>
              <w:ind w:left="283" w:right="0" w:firstLine="0"/>
              <w:rPr>
                <w:sz w:val="24"/>
                <w:szCs w:val="24"/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  <w:t xml:space="preserve">Куратор муниципальной программы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5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691"/>
              <w:shd w:val="clear" w:color="ffffff" w:themeColor="background1" w:fill="ffffff" w:themeFill="background1"/>
              <w:spacing w:after="0" w:line="240" w:lineRule="auto"/>
              <w:ind w:left="283" w:right="0" w:firstLine="0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Заместитель главы Белоя</w:t>
            </w:r>
            <w:r>
              <w:rPr>
                <w:rFonts w:ascii="Times New Roman" w:hAnsi="Times New Roman"/>
                <w:highlight w:val="white"/>
              </w:rPr>
              <w:t xml:space="preserve">рского района </w:t>
            </w:r>
            <w:r>
              <w:rPr>
                <w:sz w:val="24"/>
                <w:szCs w:val="24"/>
                <w:highlight w:val="white"/>
              </w:rPr>
              <w:t xml:space="preserve">Ващук В.А.</w:t>
            </w:r>
            <w:r>
              <w:rPr>
                <w:rFonts w:ascii="Times New Roman" w:hAnsi="Times New Roman"/>
                <w:highlight w:val="white"/>
              </w:rPr>
            </w:r>
            <w:r>
              <w:rPr>
                <w:rFonts w:ascii="Times New Roman" w:hAnsi="Times New Roman"/>
                <w:highlight w:val="white"/>
              </w:rPr>
            </w:r>
          </w:p>
        </w:tc>
      </w:tr>
    </w:tbl>
    <w:p>
      <w:pPr>
        <w:shd w:val="clear" w:color="ffffff" w:themeColor="background1" w:fill="ffffff" w:themeFill="background1"/>
        <w:tabs>
          <w:tab w:val="left" w:pos="1134" w:leader="none"/>
        </w:tabs>
        <w:spacing w:after="0" w:line="240" w:lineRule="auto"/>
        <w:ind w:left="283" w:right="0" w:firstLine="0"/>
        <w:jc w:val="right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»;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numPr>
          <w:numId w:val="2"/>
          <w:ilvl w:val="0"/>
        </w:numPr>
        <w:shd w:val="clear" w:color="ffffff" w:themeColor="background1" w:fill="ffffff" w:themeFill="background1"/>
        <w:tabs>
          <w:tab w:val="left" w:pos="1134" w:leader="none"/>
        </w:tabs>
        <w:spacing w:after="0" w:line="240" w:lineRule="auto"/>
        <w:ind w:left="283" w:right="0" w:firstLine="709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zh-CN" w:bidi="ar"/>
        </w:rPr>
        <w:t xml:space="preserve">строку «Объемы финансового обеспечения за весь период реализации» </w:t>
      </w:r>
      <w:r>
        <w:rPr>
          <w:sz w:val="24"/>
          <w:szCs w:val="24"/>
          <w:highlight w:val="white"/>
        </w:rPr>
        <w:t xml:space="preserve">раздела 1 «Основные положения» Паспорта муниципальной программы</w:t>
      </w:r>
      <w:r>
        <w:rPr>
          <w:sz w:val="24"/>
          <w:szCs w:val="24"/>
          <w:highlight w:val="white"/>
        </w:rPr>
        <w:t xml:space="preserve"> изложить в сл</w:t>
      </w:r>
      <w:r>
        <w:rPr>
          <w:sz w:val="24"/>
          <w:szCs w:val="24"/>
          <w:highlight w:val="white"/>
        </w:rPr>
        <w:t xml:space="preserve">едующей редакции: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ind w:left="283" w:right="0" w:firstLine="0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«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tbl>
      <w:tblPr>
        <w:tblW w:w="9782" w:type="dxa"/>
        <w:tblInd w:w="28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6378"/>
        <w:gridCol w:w="3404"/>
      </w:tblGrid>
      <w:tr>
        <w:trPr>
          <w:trHeight w:val="356"/>
        </w:trPr>
        <w:tblPrEx/>
        <w:tc>
          <w:tcPr>
            <w:tcW w:w="6378" w:type="dxa"/>
            <w:tcBorders>
              <w:right w:val="single" w:color="auto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/>
              <w:ind w:left="283" w:right="0" w:firstLine="0"/>
              <w:rPr>
                <w:sz w:val="24"/>
                <w:szCs w:val="24"/>
                <w:highlight w:val="white"/>
              </w:rPr>
            </w:pPr>
            <w:r>
              <w:rPr>
                <w:highlight w:val="white"/>
              </w:rPr>
              <w:t xml:space="preserve">Объемы финансового обеспечения за весь период реализации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3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false"/>
            <w:textDirection w:val="lrTb"/>
            <w:vAlign w:val="center"/>
          </w:tcPr>
          <w:p>
            <w:pPr>
              <w:widowControl w:val="off"/>
              <w:shd w:val="clear" w:color="ffffff" w:themeColor="background1" w:fill="ffffff" w:themeFill="background1"/>
              <w:spacing w:after="0"/>
              <w:ind w:left="283" w:right="0" w:firstLine="0"/>
              <w:rPr>
                <w:sz w:val="24"/>
                <w:szCs w:val="24"/>
                <w:highlight w:val="white"/>
              </w:rPr>
            </w:pPr>
            <w:r>
              <w:rPr>
                <w:highlight w:val="white"/>
              </w:rPr>
              <w:t xml:space="preserve">1 270 510,2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 тысяч</w:t>
            </w:r>
            <w:r>
              <w:rPr>
                <w:highlight w:val="white"/>
              </w:rPr>
              <w:t xml:space="preserve"> рублей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</w:tbl>
    <w:p>
      <w:pPr>
        <w:shd w:val="clear" w:color="ffffff" w:themeColor="background1" w:fill="ffffff" w:themeFill="background1"/>
        <w:spacing w:after="0" w:line="240" w:lineRule="auto"/>
        <w:ind w:left="283" w:right="0" w:firstLine="0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»;</w:t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numPr>
          <w:numId w:val="2"/>
          <w:ilvl w:val="0"/>
        </w:numPr>
        <w:shd w:val="clear" w:color="ffffff" w:themeColor="background1" w:fill="ffffff" w:themeFill="background1"/>
        <w:tabs>
          <w:tab w:val="left" w:pos="1134" w:leader="none"/>
        </w:tabs>
        <w:spacing w:after="0" w:line="240" w:lineRule="auto"/>
        <w:ind w:left="283" w:right="0" w:firstLine="709"/>
        <w:jc w:val="both"/>
        <w:rPr>
          <w:rFonts w:eastAsia="Times New Roman"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раздел 4 «Финансовое обеспечение муниципальной программы» Паспорта муниципальной программы изложить в редакции согласно приложению к настоящему постановлению</w:t>
      </w:r>
      <w:r>
        <w:rPr>
          <w:rFonts w:eastAsia="Times New Roman"/>
          <w:sz w:val="24"/>
          <w:szCs w:val="24"/>
          <w:highlight w:val="white"/>
          <w:lang w:val="en-US" w:eastAsia="ru-RU"/>
        </w:rPr>
        <w:t xml:space="preserve">.</w:t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numPr>
          <w:numId w:val="3"/>
          <w:ilvl w:val="0"/>
        </w:numPr>
        <w:shd w:val="clear" w:color="ffffff" w:themeColor="background1" w:fill="ffffff" w:themeFill="background1"/>
        <w:tabs>
          <w:tab w:val="left" w:pos="1134" w:leader="none"/>
        </w:tabs>
        <w:spacing w:after="0" w:line="240" w:lineRule="auto"/>
        <w:ind w:left="283" w:right="0" w:firstLine="709"/>
        <w:jc w:val="both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Опубликовать настоящее постановление в газете «Белоярские вести. Официальный выпуск».</w:t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numPr>
          <w:numId w:val="3"/>
          <w:ilvl w:val="0"/>
        </w:numPr>
        <w:shd w:val="clear" w:color="ffffff" w:themeColor="background1" w:fill="ffffff" w:themeFill="background1"/>
        <w:tabs>
          <w:tab w:val="left" w:pos="1134" w:leader="none"/>
        </w:tabs>
        <w:spacing w:after="0" w:line="240" w:lineRule="auto"/>
        <w:ind w:left="283" w:right="0" w:firstLine="709"/>
        <w:jc w:val="both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Настоящее</w:t>
      </w:r>
      <w:r>
        <w:rPr>
          <w:rFonts w:eastAsia="Times New Roman"/>
          <w:sz w:val="24"/>
          <w:szCs w:val="24"/>
          <w:highlight w:val="white"/>
          <w:lang w:eastAsia="ru-RU"/>
        </w:rPr>
        <w:t xml:space="preserve"> постановление вступает в силу после официального опубликования.</w:t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numPr>
          <w:numId w:val="3"/>
          <w:ilvl w:val="0"/>
        </w:numPr>
        <w:shd w:val="clear" w:color="ffffff" w:themeColor="background1" w:fill="ffffff" w:themeFill="background1"/>
        <w:tabs>
          <w:tab w:val="left" w:pos="1134" w:leader="none"/>
        </w:tabs>
        <w:spacing w:after="0" w:line="240" w:lineRule="auto"/>
        <w:ind w:left="283" w:right="0" w:firstLine="709"/>
        <w:jc w:val="both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color w:val="000000"/>
          <w:sz w:val="24"/>
          <w:szCs w:val="24"/>
          <w:highlight w:val="white"/>
          <w:lang w:eastAsia="ru-RU"/>
        </w:rPr>
        <w:t xml:space="preserve">Контроль за выполнением постановления возложить на заместителя главы Белоярского района </w:t>
      </w:r>
      <w:r>
        <w:rPr>
          <w:rFonts w:eastAsia="Times New Roman"/>
          <w:color w:val="000000"/>
          <w:sz w:val="24"/>
          <w:szCs w:val="24"/>
          <w:highlight w:val="white"/>
          <w:lang w:eastAsia="ru-RU"/>
        </w:rPr>
        <w:t xml:space="preserve">Ващука</w:t>
      </w:r>
      <w:r>
        <w:rPr>
          <w:rFonts w:eastAsia="Times New Roman"/>
          <w:color w:val="000000"/>
          <w:sz w:val="24"/>
          <w:szCs w:val="24"/>
          <w:highlight w:val="white"/>
          <w:lang w:eastAsia="ru-RU"/>
        </w:rPr>
        <w:t xml:space="preserve"> В.А.</w:t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ind w:left="283" w:right="0" w:firstLine="0"/>
        <w:jc w:val="both"/>
        <w:rPr>
          <w:rFonts w:eastAsia="Times New Roman"/>
          <w:color w:val="000000"/>
          <w:sz w:val="24"/>
          <w:szCs w:val="24"/>
          <w:highlight w:val="white"/>
        </w:rPr>
      </w:pPr>
      <w:r>
        <w:rPr>
          <w:rFonts w:eastAsia="Times New Roman"/>
          <w:color w:val="000000"/>
          <w:sz w:val="24"/>
          <w:szCs w:val="24"/>
          <w:highlight w:val="white"/>
          <w:lang w:eastAsia="ru-RU"/>
        </w:rPr>
      </w:r>
      <w:r>
        <w:rPr>
          <w:rFonts w:eastAsia="Times New Roman"/>
          <w:color w:val="000000"/>
          <w:sz w:val="24"/>
          <w:szCs w:val="24"/>
          <w:highlight w:val="white"/>
        </w:rPr>
      </w:r>
      <w:r>
        <w:rPr>
          <w:rFonts w:eastAsia="Times New Roman"/>
          <w:color w:val="000000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ind w:left="283" w:right="0" w:firstLine="0"/>
        <w:jc w:val="both"/>
        <w:rPr>
          <w:rFonts w:eastAsia="Times New Roman"/>
          <w:color w:val="000000"/>
          <w:sz w:val="24"/>
          <w:szCs w:val="24"/>
          <w:highlight w:val="white"/>
        </w:rPr>
      </w:pPr>
      <w:r>
        <w:rPr>
          <w:rFonts w:eastAsia="Times New Roman"/>
          <w:color w:val="000000"/>
          <w:sz w:val="24"/>
          <w:szCs w:val="24"/>
          <w:highlight w:val="white"/>
        </w:rPr>
      </w:r>
      <w:r>
        <w:rPr>
          <w:rFonts w:eastAsia="Times New Roman"/>
          <w:color w:val="000000"/>
          <w:sz w:val="24"/>
          <w:szCs w:val="24"/>
          <w:highlight w:val="white"/>
        </w:rPr>
      </w:r>
      <w:r>
        <w:rPr>
          <w:rFonts w:eastAsia="Times New Roman"/>
          <w:color w:val="000000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ind w:left="283" w:right="0" w:firstLine="0"/>
        <w:jc w:val="both"/>
        <w:rPr>
          <w:rFonts w:eastAsia="Times New Roman"/>
          <w:color w:val="000000"/>
          <w:sz w:val="24"/>
          <w:szCs w:val="24"/>
          <w:highlight w:val="white"/>
        </w:rPr>
      </w:pPr>
      <w:r>
        <w:rPr>
          <w:rFonts w:eastAsia="Times New Roman"/>
          <w:color w:val="000000"/>
          <w:sz w:val="24"/>
          <w:szCs w:val="24"/>
          <w:highlight w:val="white"/>
          <w:lang w:eastAsia="ru-RU"/>
        </w:rPr>
      </w:r>
      <w:r>
        <w:rPr>
          <w:rFonts w:eastAsia="Times New Roman"/>
          <w:color w:val="000000"/>
          <w:sz w:val="24"/>
          <w:szCs w:val="24"/>
          <w:highlight w:val="white"/>
        </w:rPr>
      </w:r>
      <w:r>
        <w:rPr>
          <w:rFonts w:eastAsia="Times New Roman"/>
          <w:color w:val="000000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ind w:left="283" w:right="0" w:firstLine="0"/>
        <w:jc w:val="both"/>
        <w:rPr>
          <w:rFonts w:eastAsia="Times New Roman"/>
          <w:sz w:val="24"/>
          <w:szCs w:val="24"/>
          <w:highlight w:val="none"/>
        </w:rPr>
      </w:pPr>
      <w:r>
        <w:rPr>
          <w:rFonts w:eastAsia="Times New Roman"/>
          <w:sz w:val="24"/>
          <w:szCs w:val="20"/>
          <w:highlight w:val="white"/>
          <w:lang w:eastAsia="ru-RU"/>
        </w:rPr>
        <w:t xml:space="preserve">Глава Белоярского района                                                                                             </w:t>
      </w:r>
      <w:r>
        <w:rPr>
          <w:rFonts w:eastAsia="Times New Roman"/>
          <w:sz w:val="24"/>
          <w:szCs w:val="20"/>
          <w:highlight w:val="white"/>
          <w:lang w:eastAsia="ru-RU"/>
        </w:rPr>
        <w:t xml:space="preserve">С.П.Маненков</w:t>
      </w:r>
      <w:r>
        <w:rPr>
          <w:rFonts w:eastAsia="Times New Roman"/>
          <w:sz w:val="24"/>
          <w:szCs w:val="24"/>
          <w:highlight w:val="none"/>
        </w:rPr>
      </w:r>
      <w:r>
        <w:rPr>
          <w:rFonts w:eastAsia="Times New Roman"/>
          <w:sz w:val="24"/>
          <w:szCs w:val="24"/>
          <w:highlight w:val="none"/>
        </w:rPr>
      </w:r>
    </w:p>
    <w:p>
      <w:pPr>
        <w:shd w:val="clear" w:color="ffffff" w:themeColor="background1" w:fill="ffffff" w:themeFill="background1"/>
        <w:spacing w:after="0" w:line="240" w:lineRule="auto"/>
        <w:ind w:left="283" w:right="0" w:firstLine="0"/>
        <w:jc w:val="both"/>
        <w:rPr>
          <w:rFonts w:eastAsia="Times New Roman"/>
          <w:sz w:val="24"/>
          <w:szCs w:val="24"/>
          <w:highlight w:val="none"/>
        </w:rPr>
      </w:pPr>
      <w:r>
        <w:rPr>
          <w:rFonts w:eastAsia="Times New Roman"/>
          <w:sz w:val="24"/>
          <w:szCs w:val="20"/>
          <w:highlight w:val="none"/>
        </w:rPr>
      </w:r>
      <w:r>
        <w:rPr>
          <w:rFonts w:eastAsia="Times New Roman"/>
          <w:sz w:val="24"/>
          <w:szCs w:val="20"/>
          <w:highlight w:val="none"/>
        </w:rPr>
      </w:r>
      <w:r>
        <w:rPr>
          <w:rFonts w:eastAsia="Times New Roman"/>
          <w:sz w:val="24"/>
          <w:szCs w:val="24"/>
          <w:highlight w:val="none"/>
        </w:rPr>
      </w:r>
    </w:p>
    <w:p>
      <w:pPr>
        <w:shd w:val="clear" w:color="ffffff" w:themeColor="background1" w:fill="ffffff" w:themeFill="background1"/>
        <w:spacing w:after="0" w:line="240" w:lineRule="auto"/>
        <w:ind w:left="283" w:right="0" w:firstLine="0"/>
        <w:jc w:val="both"/>
        <w:rPr>
          <w:rFonts w:eastAsia="Times New Roman"/>
          <w:sz w:val="24"/>
          <w:szCs w:val="24"/>
          <w:highlight w:val="white"/>
        </w:rPr>
        <w:sectPr>
          <w:footnotePr/>
          <w:endnotePr/>
          <w:type w:val="nextPage"/>
          <w:pgSz w:w="11906" w:h="16838" w:orient="portrait"/>
          <w:pgMar w:top="578" w:right="720" w:bottom="720" w:left="1134" w:header="708" w:footer="708" w:gutter="0"/>
          <w:cols w:num="1" w:sep="0" w:space="1701" w:equalWidth="1"/>
          <w:docGrid w:linePitch="360"/>
          <w:titlePg/>
        </w:sectPr>
      </w:pPr>
      <w:r>
        <w:rPr>
          <w:rFonts w:eastAsia="Times New Roman"/>
          <w:sz w:val="24"/>
          <w:szCs w:val="20"/>
          <w:highlight w:val="none"/>
        </w:rPr>
      </w:r>
      <w:r>
        <w:rPr>
          <w:rFonts w:eastAsia="Times New Roman"/>
          <w:sz w:val="24"/>
          <w:szCs w:val="20"/>
          <w:highlight w:val="non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pStyle w:val="887"/>
        <w:shd w:val="clear" w:color="ffffff" w:themeColor="background1" w:fill="ffffff" w:themeFill="background1"/>
        <w:jc w:val="right"/>
        <w:rPr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Приложение</w:t>
      </w:r>
      <w:r>
        <w:rPr>
          <w:highlight w:val="white"/>
        </w:rPr>
      </w:r>
      <w:r>
        <w:rPr>
          <w:highlight w:val="white"/>
        </w:rPr>
      </w:r>
    </w:p>
    <w:p>
      <w:pPr>
        <w:pStyle w:val="887"/>
        <w:shd w:val="clear" w:color="ffffff" w:themeColor="background1" w:fill="ffffff" w:themeFill="background1"/>
        <w:jc w:val="right"/>
        <w:rPr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к постановлению администрации</w:t>
      </w:r>
      <w:r>
        <w:rPr>
          <w:highlight w:val="white"/>
        </w:rPr>
      </w:r>
      <w:r>
        <w:rPr>
          <w:highlight w:val="white"/>
        </w:rPr>
      </w:r>
    </w:p>
    <w:p>
      <w:pPr>
        <w:pStyle w:val="887"/>
        <w:shd w:val="clear" w:color="ffffff" w:themeColor="background1" w:fill="ffffff" w:themeFill="background1"/>
        <w:jc w:val="right"/>
        <w:rPr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 Белоярского района</w:t>
      </w:r>
      <w:r>
        <w:rPr>
          <w:highlight w:val="white"/>
        </w:rPr>
      </w:r>
      <w:r>
        <w:rPr>
          <w:highlight w:val="white"/>
        </w:rPr>
      </w:r>
    </w:p>
    <w:p>
      <w:pPr>
        <w:pStyle w:val="887"/>
        <w:shd w:val="clear" w:color="ffffff" w:themeColor="background1" w:fill="ffffff" w:themeFill="background1"/>
        <w:jc w:val="right"/>
        <w:rPr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от 29 декабря 2025 года № 914</w:t>
      </w:r>
      <w:r>
        <w:rPr>
          <w:highlight w:val="white"/>
        </w:rPr>
      </w:r>
      <w:r>
        <w:rPr>
          <w:highlight w:val="white"/>
        </w:rPr>
      </w:r>
    </w:p>
    <w:p>
      <w:pPr>
        <w:pStyle w:val="887"/>
        <w:shd w:val="clear" w:color="ffffff" w:themeColor="background1" w:fill="ffffff" w:themeFill="background1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pStyle w:val="887"/>
        <w:shd w:val="clear" w:color="ffffff" w:themeColor="background1" w:fill="ffffff" w:themeFill="background1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И З М Е Н Е Н И Я,</w:t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pStyle w:val="887"/>
        <w:shd w:val="clear" w:color="ffffff" w:themeColor="background1" w:fill="ffffff" w:themeFill="background1"/>
        <w:outlineLvl w:val="2"/>
        <w:rPr>
          <w:rFonts w:ascii="Times New Roman" w:hAnsi="Times New Roman" w:cs="Calibri"/>
          <w:sz w:val="24"/>
          <w:szCs w:val="24"/>
          <w:highlight w:val="white"/>
        </w:rPr>
      </w:pP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вносимые в раздел 4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/>
          <w:sz w:val="24"/>
          <w:szCs w:val="24"/>
          <w:highlight w:val="white"/>
        </w:rPr>
        <w:t xml:space="preserve">муниципальной программы Белоярского района</w:t>
      </w:r>
      <w:r>
        <w:rPr>
          <w:rFonts w:ascii="Times New Roman" w:hAnsi="Times New Roman" w:cs="Calibri"/>
          <w:sz w:val="24"/>
          <w:szCs w:val="24"/>
          <w:highlight w:val="white"/>
        </w:rPr>
      </w:r>
      <w:r>
        <w:rPr>
          <w:rFonts w:ascii="Times New Roman" w:hAnsi="Times New Roman" w:cs="Calibri"/>
          <w:sz w:val="24"/>
          <w:szCs w:val="24"/>
          <w:highlight w:val="white"/>
        </w:rPr>
      </w:r>
    </w:p>
    <w:p>
      <w:pPr>
        <w:pStyle w:val="887"/>
        <w:shd w:val="clear" w:color="ffffff" w:themeColor="background1" w:fill="ffffff" w:themeFill="background1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«Развитие транспортной системы Белоярского района»</w:t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pStyle w:val="887"/>
        <w:shd w:val="clear" w:color="ffffff" w:themeColor="background1" w:fill="ffffff" w:themeFill="background1"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  <w:highlight w:val="white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highlight w:val="white"/>
        </w:rPr>
      </w:r>
      <w:r>
        <w:rPr>
          <w:rFonts w:ascii="Times New Roman" w:hAnsi="Times New Roman"/>
          <w:color w:val="000000"/>
          <w:sz w:val="24"/>
          <w:szCs w:val="24"/>
          <w:highlight w:val="white"/>
        </w:rPr>
      </w:r>
    </w:p>
    <w:p>
      <w:pPr>
        <w:pStyle w:val="887"/>
        <w:shd w:val="clear" w:color="ffffff" w:themeColor="background1" w:fill="ffffff" w:themeFill="background1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«4. Финансовое</w:t>
      </w:r>
      <w:r>
        <w:rPr>
          <w:rFonts w:eastAsia="Times New Roman"/>
          <w:sz w:val="24"/>
          <w:szCs w:val="24"/>
          <w:highlight w:val="white"/>
          <w:lang w:val="en-US" w:eastAsia="ru-RU"/>
        </w:rPr>
        <w:t xml:space="preserve"> </w:t>
      </w:r>
      <w:r>
        <w:rPr>
          <w:rFonts w:eastAsia="Times New Roman"/>
          <w:sz w:val="24"/>
          <w:szCs w:val="24"/>
          <w:highlight w:val="white"/>
          <w:lang w:val="en-US" w:eastAsia="ru-RU"/>
        </w:rPr>
        <w:t xml:space="preserve">обеспечение</w:t>
      </w:r>
      <w:r>
        <w:rPr>
          <w:rFonts w:eastAsia="Times New Roman"/>
          <w:sz w:val="24"/>
          <w:szCs w:val="24"/>
          <w:highlight w:val="white"/>
          <w:lang w:eastAsia="ru-RU"/>
        </w:rPr>
        <w:t xml:space="preserve"> муниципальной программы</w:t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pStyle w:val="887"/>
        <w:shd w:val="clear" w:color="ffffff" w:themeColor="background1" w:fill="ffffff" w:themeFill="background1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tbl>
      <w:tblPr>
        <w:tblW w:w="14700" w:type="dxa"/>
        <w:tblInd w:w="315" w:type="dxa"/>
        <w:tblLayout w:type="fixed"/>
        <w:tblLook w:val="04A0" w:firstRow="1" w:lastRow="0" w:firstColumn="1" w:lastColumn="0" w:noHBand="0" w:noVBand="1"/>
      </w:tblPr>
      <w:tblGrid>
        <w:gridCol w:w="980"/>
        <w:gridCol w:w="6777"/>
        <w:gridCol w:w="967"/>
        <w:gridCol w:w="967"/>
        <w:gridCol w:w="967"/>
        <w:gridCol w:w="967"/>
        <w:gridCol w:w="967"/>
        <w:gridCol w:w="967"/>
        <w:gridCol w:w="1141"/>
      </w:tblGrid>
      <w:tr>
        <w:trPr>
          <w:trHeight w:val="300"/>
          <w:tblHeader/>
        </w:trPr>
        <w:tblPrEx/>
        <w:tc>
          <w:tcPr>
            <w:tcW w:w="9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N п/п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Наименование муниципальной программы, структурного элемента, мероприятия (результата), источник финансового обеспечения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6943" w:type="dxa"/>
            <w:gridSpan w:val="7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</w:tr>
      <w:tr>
        <w:trPr>
          <w:trHeight w:val="300"/>
          <w:tblHeader/>
        </w:trPr>
        <w:tblPrEx/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2025 год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2026 год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2027 год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2028 год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2029 год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2030 год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Всего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</w:tr>
      <w:tr>
        <w:trPr>
          <w:trHeight w:val="300"/>
          <w:tblHeader/>
        </w:trPr>
        <w:tblPrEx/>
        <w:tc>
          <w:tcPr>
            <w:tcW w:w="980" w:type="dxa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1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2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3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4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5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6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7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8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9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</w:tr>
      <w:tr>
        <w:trPr>
          <w:trHeight w:val="480"/>
        </w:trPr>
        <w:tblPrEx/>
        <w:tc>
          <w:tcPr>
            <w:tcW w:w="980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 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Муниципальная программа «Развитие транспортной системы Белоярского района» (всего), в том числе: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361 675,3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291 130,6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243 637,3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124 689,0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124 689,0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124 689,0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1 270 510,2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  <w:tr>
        <w:trPr>
          <w:trHeight w:val="300"/>
        </w:trPr>
        <w:tblPrEx/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ff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ff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федеральный бюджет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21 787,5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37 773,0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59 560,5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  <w:tr>
        <w:trPr>
          <w:trHeight w:val="300"/>
        </w:trPr>
        <w:tblPrEx/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ff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ff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бюджет ХМАО-Югры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140 972,0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113 357,1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113 000,8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367 329,9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  <w:tr>
        <w:trPr>
          <w:trHeight w:val="300"/>
        </w:trPr>
        <w:tblPrEx/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ff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ff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бюджет Белоярского района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198 915,8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140 000,5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130 636,5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124 689,0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124 689,0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124 689,0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843 619,8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  <w:tr>
        <w:trPr>
          <w:trHeight w:val="300"/>
        </w:trPr>
        <w:tblPrEx/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ff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ff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Объем налоговых расходов Белоярского района (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справочно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)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439,1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439,1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439,1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439,1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439,1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439,1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2 634,6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  <w:tr>
        <w:trPr>
          <w:trHeight w:val="720"/>
        </w:trPr>
        <w:tblPrEx/>
        <w:tc>
          <w:tcPr>
            <w:tcW w:w="980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1.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Региональный проект «Государственная поддержка реализации на территории Арктической зоны Российской Федерации инвестиционных проектов» (всего), в том числе: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170 179,4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154 036,6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324 216,0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  <w:tr>
        <w:trPr>
          <w:trHeight w:val="300"/>
        </w:trPr>
        <w:tblPrEx/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федеральный бюджет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21 787,5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37 773,0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59 560,5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  <w:tr>
        <w:trPr>
          <w:trHeight w:val="300"/>
        </w:trPr>
        <w:tblPrEx/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бюджет ХМАО-Югры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140 972,0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110 450,4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251 422,4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  <w:tr>
        <w:trPr>
          <w:trHeight w:val="300"/>
        </w:trPr>
        <w:tblPrEx/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бюджет Белоярского района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7 419,9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5 813,2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13 233,1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  <w:tr>
        <w:trPr>
          <w:trHeight w:val="720"/>
        </w:trPr>
        <w:tblPrEx/>
        <w:tc>
          <w:tcPr>
            <w:tcW w:w="980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2.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Комплекс 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процессных мероприятий «Строительство (реконструкция), капитальный ремонт и ремонт автомобильных дорог общего пользования местного значения» (всего), в том числе: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10 517,2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3 659,8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118 948,3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133 125,3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  <w:tr>
        <w:trPr>
          <w:trHeight w:val="300"/>
        </w:trPr>
        <w:tblPrEx/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бюджет ХМАО-Югры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2 906,7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113 000,8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115 907,5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  <w:tr>
        <w:trPr>
          <w:trHeight w:val="300"/>
        </w:trPr>
        <w:tblPrEx/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бюджет Белоярского района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10 517,2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753,1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5 947,5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17 217,8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  <w:tr>
        <w:trPr>
          <w:trHeight w:val="480"/>
        </w:trPr>
        <w:tblPrEx/>
        <w:tc>
          <w:tcPr>
            <w:tcW w:w="980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2.1.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результат «Строительство (реконструкция) автомобильных дорог общего пользования местного значения» (всего), в том числе: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2 070,4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2 070,4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  <w:tr>
        <w:trPr>
          <w:trHeight w:val="300"/>
        </w:trPr>
        <w:tblPrEx/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бюджет Белоярского района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2 070,4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2 070,4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  <w:tr>
        <w:trPr>
          <w:trHeight w:val="480"/>
        </w:trPr>
        <w:tblPrEx/>
        <w:tc>
          <w:tcPr>
            <w:tcW w:w="980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2.2.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результат «Капитальный ремонт автомобильных дорог общего пользования местного значения» (всего), в том числе: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8 446,8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3 659,8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118 948,3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131 054,9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  <w:tr>
        <w:trPr>
          <w:trHeight w:val="350"/>
        </w:trPr>
        <w:tblPrEx/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бюджет ХМАО-Югры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2 906,7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113 000,8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115 907,5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  <w:tr>
        <w:trPr>
          <w:trHeight w:val="300"/>
        </w:trPr>
        <w:tblPrEx/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бюджет Белоярского района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8 446,8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753,1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5 947,5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15 147,4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  <w:tr>
        <w:trPr>
          <w:trHeight w:val="480"/>
        </w:trPr>
        <w:tblPrEx/>
        <w:tc>
          <w:tcPr>
            <w:tcW w:w="980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2.3.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результат 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«Ремонт автомобильных дорог общего пользования местного значения» (всего), в том числе: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  <w:tr>
        <w:trPr>
          <w:trHeight w:val="300"/>
        </w:trPr>
        <w:tblPrEx/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бюджет Белоярского района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0,0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  <w:tr>
        <w:trPr>
          <w:trHeight w:val="720"/>
        </w:trPr>
        <w:tblPrEx/>
        <w:tc>
          <w:tcPr>
            <w:tcW w:w="980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3.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none"/>
                <w:lang w:eastAsia="ru-RU"/>
              </w:rPr>
              <w:t xml:space="preserve">Комплекс процессных 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none"/>
                <w:lang w:eastAsia="ru-RU"/>
              </w:rPr>
              <w:t xml:space="preserve">мероприятий  «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none"/>
                <w:lang w:eastAsia="ru-RU"/>
              </w:rPr>
              <w:t xml:space="preserve">Создание условий для предоставления транспортных услуг, организации транспортного обслуживания населения Белоярского района»  (всего), в том числе: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none"/>
                <w:u w:val="none"/>
                <w:vertAlign w:val="baseline"/>
              </w:rPr>
              <w:t xml:space="preserve">100 991,8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none"/>
                <w:u w:val="none"/>
                <w:vertAlign w:val="baseline"/>
              </w:rPr>
              <w:t xml:space="preserve">51 455,6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none"/>
                <w:u w:val="none"/>
                <w:vertAlign w:val="baseline"/>
              </w:rPr>
              <w:t xml:space="preserve">40 015,0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none"/>
                <w:u w:val="none"/>
                <w:vertAlign w:val="baseline"/>
              </w:rPr>
              <w:t xml:space="preserve">40 015,0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40 015,0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40 015,0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312 507,4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  <w:tr>
        <w:trPr>
          <w:trHeight w:val="300"/>
        </w:trPr>
        <w:tblPrEx/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none"/>
                <w:lang w:eastAsia="ru-RU"/>
              </w:rPr>
              <w:t xml:space="preserve">бюджет Белоярского района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none"/>
                <w:u w:val="none"/>
                <w:vertAlign w:val="baseline"/>
              </w:rPr>
              <w:t xml:space="preserve">100 991,8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none"/>
                <w:u w:val="none"/>
                <w:vertAlign w:val="baseline"/>
              </w:rPr>
              <w:t xml:space="preserve">51 455,6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none"/>
                <w:u w:val="none"/>
                <w:vertAlign w:val="baseline"/>
              </w:rPr>
              <w:t xml:space="preserve">40 015,0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none"/>
                <w:u w:val="none"/>
                <w:vertAlign w:val="baseline"/>
              </w:rPr>
              <w:t xml:space="preserve">40 015,0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40 015,0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40 015,0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312 507,4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  <w:tr>
        <w:trPr>
          <w:trHeight w:val="480"/>
        </w:trPr>
        <w:tblPrEx/>
        <w:tc>
          <w:tcPr>
            <w:tcW w:w="980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3.1.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none"/>
                <w:lang w:eastAsia="ru-RU"/>
              </w:rPr>
              <w:t xml:space="preserve">результат «Организация регулярных перевозок пассажиров и багажа воздушным транспортом» (всего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none"/>
                <w:lang w:eastAsia="ru-RU"/>
              </w:rPr>
              <w:t xml:space="preserve">) ,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none"/>
                <w:lang w:eastAsia="ru-RU"/>
              </w:rPr>
              <w:t xml:space="preserve"> в том числе: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none"/>
                <w:u w:val="none"/>
                <w:vertAlign w:val="baseline"/>
              </w:rPr>
              <w:t xml:space="preserve">55 481,5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967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none"/>
                <w:u w:val="none"/>
                <w:vertAlign w:val="baseline"/>
              </w:rPr>
              <w:t xml:space="preserve">6 502,5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967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none"/>
                <w:u w:val="none"/>
                <w:vertAlign w:val="baseline"/>
              </w:rPr>
              <w:t xml:space="preserve">25 395,6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967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none"/>
                <w:u w:val="none"/>
                <w:vertAlign w:val="baseline"/>
              </w:rPr>
              <w:t xml:space="preserve">25 395,6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967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25 395,6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25 395,6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141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163 566,4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  <w:tr>
        <w:trPr>
          <w:trHeight w:val="300"/>
        </w:trPr>
        <w:tblPrEx/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none"/>
                <w:lang w:eastAsia="ru-RU"/>
              </w:rPr>
              <w:t xml:space="preserve">бюджет Белоярского района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none"/>
                <w:u w:val="none"/>
                <w:vertAlign w:val="baseline"/>
              </w:rPr>
              <w:t xml:space="preserve">55 481,5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none"/>
                <w:u w:val="none"/>
                <w:vertAlign w:val="baseline"/>
              </w:rPr>
              <w:t xml:space="preserve">6 502,5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none"/>
                <w:u w:val="none"/>
                <w:vertAlign w:val="baseline"/>
              </w:rPr>
              <w:t xml:space="preserve">25 395,6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none"/>
                <w:u w:val="none"/>
                <w:vertAlign w:val="baseline"/>
              </w:rPr>
              <w:t xml:space="preserve">25 395,6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25 395,6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25 395,6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141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163 566,4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  <w:tr>
        <w:trPr>
          <w:trHeight w:val="480"/>
        </w:trPr>
        <w:tblPrEx/>
        <w:tc>
          <w:tcPr>
            <w:tcW w:w="980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3.2.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none"/>
                <w:lang w:eastAsia="ru-RU"/>
              </w:rPr>
              <w:t xml:space="preserve">результат «Организация регулярных перевозок пассажиров и багажа автомобильным транспортом» (всего), в том числе: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none"/>
                <w:u w:val="none"/>
                <w:vertAlign w:val="baseline"/>
              </w:rPr>
              <w:t xml:space="preserve">31 517,2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none"/>
                <w:u w:val="none"/>
                <w:vertAlign w:val="baseline"/>
              </w:rPr>
              <w:t xml:space="preserve">41 573,5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none"/>
                <w:u w:val="none"/>
                <w:vertAlign w:val="baseline"/>
              </w:rPr>
              <w:t xml:space="preserve">4 614,0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none"/>
                <w:u w:val="none"/>
                <w:vertAlign w:val="baseline"/>
              </w:rPr>
              <w:t xml:space="preserve">4 614,0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4 614,0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4 614,0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141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91 546,7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  <w:tr>
        <w:trPr>
          <w:trHeight w:val="300"/>
        </w:trPr>
        <w:tblPrEx/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none"/>
                <w:lang w:eastAsia="ru-RU"/>
              </w:rPr>
              <w:t xml:space="preserve">бюджет Белоярского района</w:t>
            </w:r>
            <w:bookmarkStart w:id="0" w:name="_GoBack"/>
            <w:r>
              <w:rPr>
                <w:color w:val="000000" w:themeColor="text1"/>
                <w:highlight w:val="none"/>
              </w:rPr>
            </w:r>
            <w:bookmarkEnd w:id="0"/>
            <w:r>
              <w:rPr>
                <w:rFonts w:eastAsia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themeColor="background1" w:fill="ffffff" w:themeFill="background1"/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none"/>
                <w:u w:val="none"/>
                <w:vertAlign w:val="baseline"/>
              </w:rPr>
              <w:t xml:space="preserve">31 517,2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ffffff" w:themeColor="background1" w:fill="ffffff" w:themeFill="background1"/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none"/>
                <w:u w:val="none"/>
                <w:vertAlign w:val="baseline"/>
              </w:rPr>
              <w:t xml:space="preserve">41 573,5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ffffff" w:themeColor="background1" w:fill="ffffff" w:themeFill="background1"/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none"/>
                <w:u w:val="none"/>
                <w:vertAlign w:val="baseline"/>
              </w:rPr>
              <w:t xml:space="preserve">4 614,0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none"/>
                <w:u w:val="none"/>
                <w:vertAlign w:val="baseline"/>
              </w:rPr>
              <w:t xml:space="preserve">4 614,0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4 614,0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4 614,0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141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91 546,7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  <w:tr>
        <w:trPr>
          <w:trHeight w:val="480"/>
        </w:trPr>
        <w:tblPrEx/>
        <w:tc>
          <w:tcPr>
            <w:tcW w:w="980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3.3.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none"/>
                <w:lang w:eastAsia="ru-RU"/>
              </w:rPr>
              <w:t xml:space="preserve">результат «Организация регулярных перевозок пассажиров и багажа водным транспортом» (всего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none"/>
                <w:lang w:eastAsia="ru-RU"/>
              </w:rPr>
              <w:t xml:space="preserve">),  в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none"/>
                <w:lang w:eastAsia="ru-RU"/>
              </w:rPr>
              <w:t xml:space="preserve"> том числе: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none"/>
                <w:u w:val="none"/>
                <w:vertAlign w:val="baseline"/>
              </w:rPr>
              <w:t xml:space="preserve">11 281,0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none"/>
                <w:u w:val="none"/>
                <w:vertAlign w:val="baseline"/>
              </w:rPr>
              <w:t xml:space="preserve">100,0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none"/>
                <w:u w:val="none"/>
                <w:vertAlign w:val="baseline"/>
              </w:rPr>
              <w:t xml:space="preserve">7 293,3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none"/>
                <w:u w:val="none"/>
                <w:vertAlign w:val="baseline"/>
              </w:rPr>
              <w:t xml:space="preserve">7 293,3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7 293,3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7 293,3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40 554,2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  <w:tr>
        <w:trPr>
          <w:trHeight w:val="300"/>
        </w:trPr>
        <w:tblPrEx/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none"/>
                <w:lang w:eastAsia="ru-RU"/>
              </w:rPr>
              <w:t xml:space="preserve">бюджет Белоярского района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none"/>
                <w:u w:val="none"/>
                <w:vertAlign w:val="baseline"/>
              </w:rPr>
              <w:t xml:space="preserve">11 281,0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none"/>
                <w:u w:val="none"/>
                <w:vertAlign w:val="baseline"/>
              </w:rPr>
              <w:t xml:space="preserve">100,0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none"/>
                <w:u w:val="none"/>
                <w:vertAlign w:val="baseline"/>
              </w:rPr>
              <w:t xml:space="preserve">7 293,3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none"/>
                <w:u w:val="none"/>
                <w:vertAlign w:val="baseline"/>
              </w:rPr>
              <w:t xml:space="preserve">7 293,3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7 293,3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7 293,3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40 554,2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  <w:tr>
        <w:trPr>
          <w:trHeight w:val="491"/>
        </w:trPr>
        <w:tblPrEx/>
        <w:tc>
          <w:tcPr>
            <w:tcW w:w="980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3.4.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результат «Содержание вертолетных площадок» (всего), в том числе: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2 712,1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3 279,6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2 712,1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2 712,1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2 712,1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2 712,1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16 840,1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  <w:tr>
        <w:trPr>
          <w:trHeight w:val="300"/>
        </w:trPr>
        <w:tblPrEx/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бюджет Белоярского района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2 712,1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3 279,6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2 712,1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2 712,1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2 712,1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2 712,1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16 840,1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  <w:tr>
        <w:trPr>
          <w:trHeight w:val="480"/>
        </w:trPr>
        <w:tblPrEx/>
        <w:tc>
          <w:tcPr>
            <w:tcW w:w="980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4.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Комплекс процессных мероприятий «Создание условий для обеспечения безопасности дорожного движения» (всего), в том числе: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79 986,9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81 978,6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84 674,0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84 674,0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84 674,0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84 674,0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500 661,5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  <w:tr>
        <w:trPr>
          <w:trHeight w:val="300"/>
        </w:trPr>
        <w:tblPrEx/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бюджет Белоярского района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79 986,9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81 978,6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84 674,0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84 674,0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84 674,0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84 674,0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500 661,5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  <w:tr>
        <w:trPr>
          <w:trHeight w:val="360"/>
        </w:trPr>
        <w:tblPrEx/>
        <w:tc>
          <w:tcPr>
            <w:tcW w:w="980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4.1.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результат «Содержание автомобильных дорог местного значения» (всего), в том числе: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79 986,9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81 978,6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84 674,0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84 674,0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84 674,0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84 674,0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500 661,5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  <w:tr>
        <w:trPr>
          <w:trHeight w:val="300"/>
        </w:trPr>
        <w:tblPrEx/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7"/>
              <w:shd w:val="clear" w:color="ffffff" w:themeColor="background1" w:fill="ffffff" w:themeFill="background1"/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  <w:lang w:eastAsia="ru-RU"/>
              </w:rPr>
              <w:t xml:space="preserve">бюджет Белоярского района</w:t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79 986,9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81 978,6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84 674,0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84 674,0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84 674,0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84 674,0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highlight w:val="white"/>
                <w:u w:val="none"/>
                <w:vertAlign w:val="baseline"/>
              </w:rPr>
              <w:t xml:space="preserve">500 661,5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</w:tbl>
    <w:p>
      <w:pPr>
        <w:pStyle w:val="887"/>
        <w:shd w:val="clear" w:color="ffffff" w:themeColor="background1" w:fill="ffffff" w:themeFill="background1"/>
        <w:jc w:val="right"/>
        <w:rPr>
          <w:rFonts w:eastAsia="Times New Roman"/>
          <w:sz w:val="20"/>
          <w:szCs w:val="20"/>
          <w:highlight w:val="white"/>
        </w:rPr>
      </w:pPr>
      <w:r>
        <w:rPr>
          <w:rFonts w:eastAsia="Times New Roman"/>
          <w:sz w:val="20"/>
          <w:szCs w:val="20"/>
          <w:highlight w:val="white"/>
          <w:lang w:eastAsia="ru-RU"/>
        </w:rPr>
        <w:t xml:space="preserve">».</w:t>
      </w:r>
      <w:r>
        <w:rPr>
          <w:rFonts w:eastAsia="Times New Roman"/>
          <w:sz w:val="20"/>
          <w:szCs w:val="20"/>
          <w:highlight w:val="white"/>
        </w:rPr>
      </w:r>
      <w:r>
        <w:rPr>
          <w:rFonts w:eastAsia="Times New Roman"/>
          <w:sz w:val="20"/>
          <w:szCs w:val="20"/>
          <w:highlight w:val="white"/>
        </w:rPr>
      </w:r>
    </w:p>
    <w:p>
      <w:pPr>
        <w:pStyle w:val="887"/>
        <w:shd w:val="clear" w:color="ffffff" w:themeColor="background1" w:fill="ffffff" w:themeFill="background1"/>
        <w:rPr>
          <w:rFonts w:eastAsia="Times New Roman"/>
          <w:sz w:val="20"/>
          <w:szCs w:val="20"/>
          <w:highlight w:val="white"/>
        </w:rPr>
      </w:pPr>
      <w:r>
        <w:rPr>
          <w:rFonts w:eastAsia="Times New Roman"/>
          <w:sz w:val="20"/>
          <w:szCs w:val="20"/>
          <w:highlight w:val="white"/>
        </w:rPr>
      </w:r>
      <w:r>
        <w:rPr>
          <w:rFonts w:eastAsia="Times New Roman"/>
          <w:sz w:val="20"/>
          <w:szCs w:val="20"/>
          <w:highlight w:val="white"/>
        </w:rPr>
      </w:r>
      <w:r>
        <w:rPr>
          <w:rFonts w:eastAsia="Times New Roman"/>
          <w:sz w:val="20"/>
          <w:szCs w:val="20"/>
          <w:highlight w:val="white"/>
        </w:rPr>
      </w:r>
    </w:p>
    <w:p>
      <w:pPr>
        <w:pStyle w:val="887"/>
        <w:shd w:val="clear" w:color="ffffff" w:themeColor="background1" w:fill="ffffff" w:themeFill="background1"/>
        <w:rPr>
          <w:rFonts w:eastAsia="Times New Roman"/>
          <w:sz w:val="20"/>
          <w:szCs w:val="20"/>
          <w:highlight w:val="white"/>
        </w:rPr>
      </w:pPr>
      <w:r>
        <w:rPr>
          <w:rFonts w:eastAsia="Times New Roman"/>
          <w:sz w:val="20"/>
          <w:szCs w:val="20"/>
          <w:highlight w:val="white"/>
          <w:lang w:eastAsia="ru-RU"/>
        </w:rPr>
      </w:r>
      <w:r>
        <w:rPr>
          <w:rFonts w:eastAsia="Times New Roman"/>
          <w:sz w:val="20"/>
          <w:szCs w:val="20"/>
          <w:highlight w:val="white"/>
        </w:rPr>
      </w:r>
      <w:r>
        <w:rPr>
          <w:rFonts w:eastAsia="Times New Roman"/>
          <w:sz w:val="20"/>
          <w:szCs w:val="20"/>
          <w:highlight w:val="white"/>
        </w:rPr>
      </w:r>
    </w:p>
    <w:p>
      <w:pPr>
        <w:pStyle w:val="887"/>
        <w:shd w:val="clear" w:color="ffffff" w:themeColor="background1" w:fill="ffffff" w:themeFill="background1"/>
        <w:rPr>
          <w:rFonts w:eastAsia="Times New Roman"/>
          <w:sz w:val="20"/>
          <w:szCs w:val="20"/>
          <w:highlight w:val="white"/>
        </w:rPr>
      </w:pPr>
      <w:r>
        <w:rPr>
          <w:rFonts w:eastAsia="Times New Roman"/>
          <w:sz w:val="20"/>
          <w:szCs w:val="20"/>
          <w:highlight w:val="white"/>
          <w:lang w:eastAsia="ru-RU"/>
        </w:rPr>
        <w:t xml:space="preserve">______________________</w:t>
      </w:r>
      <w:r>
        <w:rPr>
          <w:rFonts w:eastAsia="Times New Roman"/>
          <w:sz w:val="20"/>
          <w:szCs w:val="20"/>
          <w:highlight w:val="white"/>
        </w:rPr>
      </w:r>
      <w:r>
        <w:rPr>
          <w:rFonts w:eastAsia="Times New Roman"/>
          <w:sz w:val="20"/>
          <w:szCs w:val="20"/>
          <w:highlight w:val="white"/>
        </w:rPr>
      </w:r>
    </w:p>
    <w:sectPr>
      <w:headerReference w:type="default" r:id="rId9"/>
      <w:footnotePr/>
      <w:endnotePr/>
      <w:type w:val="nextPage"/>
      <w:pgSz w:w="16838" w:h="11906" w:orient="landscape"/>
      <w:pgMar w:top="709" w:right="720" w:bottom="720" w:left="720" w:header="708" w:footer="708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SimSun">
    <w:panose1 w:val="02010600030101010101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SimSu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8">
    <w:name w:val="Heading 4 Char"/>
    <w:basedOn w:val="701"/>
    <w:link w:val="695"/>
    <w:uiPriority w:val="9"/>
    <w:rPr>
      <w:rFonts w:ascii="Arial" w:hAnsi="Arial" w:eastAsia="Arial" w:cs="Arial"/>
      <w:b/>
      <w:bCs/>
      <w:sz w:val="26"/>
      <w:szCs w:val="26"/>
    </w:rPr>
  </w:style>
  <w:style w:type="character" w:styleId="679">
    <w:name w:val="Heading 5 Char"/>
    <w:basedOn w:val="701"/>
    <w:link w:val="696"/>
    <w:uiPriority w:val="9"/>
    <w:rPr>
      <w:rFonts w:ascii="Arial" w:hAnsi="Arial" w:eastAsia="Arial" w:cs="Arial"/>
      <w:b/>
      <w:bCs/>
      <w:sz w:val="24"/>
      <w:szCs w:val="24"/>
    </w:rPr>
  </w:style>
  <w:style w:type="character" w:styleId="680">
    <w:name w:val="Heading 6 Char"/>
    <w:basedOn w:val="701"/>
    <w:link w:val="697"/>
    <w:uiPriority w:val="9"/>
    <w:rPr>
      <w:rFonts w:ascii="Arial" w:hAnsi="Arial" w:eastAsia="Arial" w:cs="Arial"/>
      <w:b/>
      <w:bCs/>
      <w:sz w:val="22"/>
      <w:szCs w:val="22"/>
    </w:rPr>
  </w:style>
  <w:style w:type="character" w:styleId="681">
    <w:name w:val="Heading 7 Char"/>
    <w:basedOn w:val="701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2">
    <w:name w:val="Heading 8 Char"/>
    <w:basedOn w:val="701"/>
    <w:link w:val="699"/>
    <w:uiPriority w:val="9"/>
    <w:rPr>
      <w:rFonts w:ascii="Arial" w:hAnsi="Arial" w:eastAsia="Arial" w:cs="Arial"/>
      <w:i/>
      <w:iCs/>
      <w:sz w:val="22"/>
      <w:szCs w:val="22"/>
    </w:rPr>
  </w:style>
  <w:style w:type="character" w:styleId="683">
    <w:name w:val="Heading 9 Char"/>
    <w:basedOn w:val="701"/>
    <w:link w:val="700"/>
    <w:uiPriority w:val="9"/>
    <w:rPr>
      <w:rFonts w:ascii="Arial" w:hAnsi="Arial" w:eastAsia="Arial" w:cs="Arial"/>
      <w:i/>
      <w:iCs/>
      <w:sz w:val="21"/>
      <w:szCs w:val="21"/>
    </w:rPr>
  </w:style>
  <w:style w:type="character" w:styleId="684">
    <w:name w:val="Title Char"/>
    <w:basedOn w:val="701"/>
    <w:link w:val="715"/>
    <w:uiPriority w:val="10"/>
    <w:rPr>
      <w:sz w:val="48"/>
      <w:szCs w:val="48"/>
    </w:rPr>
  </w:style>
  <w:style w:type="character" w:styleId="685">
    <w:name w:val="Subtitle Char"/>
    <w:basedOn w:val="701"/>
    <w:link w:val="717"/>
    <w:uiPriority w:val="11"/>
    <w:rPr>
      <w:sz w:val="24"/>
      <w:szCs w:val="24"/>
    </w:rPr>
  </w:style>
  <w:style w:type="character" w:styleId="686">
    <w:name w:val="Quote Char"/>
    <w:link w:val="719"/>
    <w:uiPriority w:val="29"/>
    <w:rPr>
      <w:i/>
    </w:rPr>
  </w:style>
  <w:style w:type="character" w:styleId="687">
    <w:name w:val="Intense Quote Char"/>
    <w:link w:val="721"/>
    <w:uiPriority w:val="30"/>
    <w:rPr>
      <w:i/>
    </w:rPr>
  </w:style>
  <w:style w:type="character" w:styleId="688">
    <w:name w:val="Caption Char"/>
    <w:basedOn w:val="701"/>
    <w:link w:val="727"/>
    <w:uiPriority w:val="35"/>
    <w:rPr>
      <w:b/>
      <w:bCs/>
      <w:color w:val="4f81bd" w:themeColor="accent1"/>
      <w:sz w:val="18"/>
      <w:szCs w:val="18"/>
    </w:rPr>
  </w:style>
  <w:style w:type="character" w:styleId="689">
    <w:name w:val="Footnote Text Char"/>
    <w:link w:val="856"/>
    <w:uiPriority w:val="99"/>
    <w:rPr>
      <w:sz w:val="18"/>
    </w:rPr>
  </w:style>
  <w:style w:type="character" w:styleId="690">
    <w:name w:val="Endnote Text Char"/>
    <w:link w:val="859"/>
    <w:uiPriority w:val="99"/>
    <w:rPr>
      <w:sz w:val="20"/>
    </w:rPr>
  </w:style>
  <w:style w:type="paragraph" w:styleId="691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692">
    <w:name w:val="Heading 1"/>
    <w:basedOn w:val="691"/>
    <w:next w:val="691"/>
    <w:link w:val="873"/>
    <w:uiPriority w:val="9"/>
    <w:qFormat/>
    <w:pPr>
      <w:keepNext/>
      <w:keepLines/>
      <w:spacing w:before="240" w:after="0"/>
      <w:outlineLvl w:val="0"/>
    </w:pPr>
    <w:rPr>
      <w:rFonts w:ascii="Cambria" w:hAnsi="Cambria" w:eastAsia="Times New Roman"/>
      <w:color w:val="365f91"/>
      <w:sz w:val="32"/>
      <w:szCs w:val="32"/>
    </w:rPr>
  </w:style>
  <w:style w:type="paragraph" w:styleId="693">
    <w:name w:val="Heading 2"/>
    <w:basedOn w:val="691"/>
    <w:next w:val="691"/>
    <w:link w:val="874"/>
    <w:uiPriority w:val="9"/>
    <w:qFormat/>
    <w:pPr>
      <w:keepNext/>
      <w:keepLines/>
      <w:spacing w:before="40" w:after="0"/>
      <w:outlineLvl w:val="1"/>
    </w:pPr>
    <w:rPr>
      <w:rFonts w:ascii="Cambria" w:hAnsi="Cambria" w:eastAsia="Times New Roman"/>
      <w:color w:val="365f91"/>
      <w:sz w:val="26"/>
      <w:szCs w:val="26"/>
    </w:rPr>
  </w:style>
  <w:style w:type="paragraph" w:styleId="694">
    <w:name w:val="Heading 3"/>
    <w:basedOn w:val="691"/>
    <w:next w:val="691"/>
    <w:link w:val="875"/>
    <w:uiPriority w:val="9"/>
    <w:qFormat/>
    <w:pPr>
      <w:keepNext/>
      <w:keepLines/>
      <w:spacing w:before="40" w:after="0"/>
      <w:outlineLvl w:val="2"/>
    </w:pPr>
    <w:rPr>
      <w:rFonts w:ascii="Cambria" w:hAnsi="Cambria" w:eastAsia="Times New Roman"/>
      <w:color w:val="243f60"/>
      <w:sz w:val="24"/>
      <w:szCs w:val="24"/>
    </w:rPr>
  </w:style>
  <w:style w:type="paragraph" w:styleId="695">
    <w:name w:val="Heading 4"/>
    <w:basedOn w:val="691"/>
    <w:next w:val="691"/>
    <w:link w:val="707"/>
    <w:uiPriority w:val="9"/>
    <w:unhideWhenUsed/>
    <w:qFormat/>
    <w:pPr>
      <w:keepNext/>
      <w:keepLines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6">
    <w:name w:val="Heading 5"/>
    <w:basedOn w:val="691"/>
    <w:next w:val="691"/>
    <w:link w:val="708"/>
    <w:uiPriority w:val="9"/>
    <w:unhideWhenUsed/>
    <w:qFormat/>
    <w:pPr>
      <w:keepNext/>
      <w:keepLines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7">
    <w:name w:val="Heading 6"/>
    <w:basedOn w:val="691"/>
    <w:next w:val="691"/>
    <w:link w:val="709"/>
    <w:uiPriority w:val="9"/>
    <w:unhideWhenUsed/>
    <w:qFormat/>
    <w:pPr>
      <w:keepNext/>
      <w:keepLines/>
      <w:spacing w:before="320"/>
      <w:outlineLvl w:val="5"/>
    </w:pPr>
    <w:rPr>
      <w:rFonts w:ascii="Arial" w:hAnsi="Arial" w:eastAsia="Arial" w:cs="Arial"/>
      <w:b/>
      <w:bCs/>
    </w:rPr>
  </w:style>
  <w:style w:type="paragraph" w:styleId="698">
    <w:name w:val="Heading 7"/>
    <w:basedOn w:val="691"/>
    <w:next w:val="691"/>
    <w:link w:val="710"/>
    <w:uiPriority w:val="9"/>
    <w:unhideWhenUsed/>
    <w:qFormat/>
    <w:pPr>
      <w:keepNext/>
      <w:keepLines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99">
    <w:name w:val="Heading 8"/>
    <w:basedOn w:val="691"/>
    <w:next w:val="691"/>
    <w:link w:val="711"/>
    <w:uiPriority w:val="9"/>
    <w:unhideWhenUsed/>
    <w:qFormat/>
    <w:pPr>
      <w:keepNext/>
      <w:keepLines/>
      <w:spacing w:before="320"/>
      <w:outlineLvl w:val="7"/>
    </w:pPr>
    <w:rPr>
      <w:rFonts w:ascii="Arial" w:hAnsi="Arial" w:eastAsia="Arial" w:cs="Arial"/>
      <w:i/>
      <w:iCs/>
    </w:rPr>
  </w:style>
  <w:style w:type="paragraph" w:styleId="700">
    <w:name w:val="Heading 9"/>
    <w:basedOn w:val="691"/>
    <w:next w:val="691"/>
    <w:link w:val="712"/>
    <w:uiPriority w:val="9"/>
    <w:unhideWhenUsed/>
    <w:qFormat/>
    <w:pPr>
      <w:keepNext/>
      <w:keepLines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 w:default="1">
    <w:name w:val="Default Paragraph Font"/>
    <w:uiPriority w:val="1"/>
    <w:semiHidden/>
    <w:unhideWhenUsed/>
  </w:style>
  <w:style w:type="table" w:styleId="70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3" w:default="1">
    <w:name w:val="No List"/>
    <w:uiPriority w:val="99"/>
    <w:semiHidden/>
    <w:unhideWhenUsed/>
  </w:style>
  <w:style w:type="character" w:styleId="704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705" w:customStyle="1">
    <w:name w:val="Heading 2 Char"/>
    <w:uiPriority w:val="9"/>
    <w:rPr>
      <w:rFonts w:ascii="Arial" w:hAnsi="Arial" w:eastAsia="Arial" w:cs="Arial"/>
      <w:sz w:val="34"/>
    </w:rPr>
  </w:style>
  <w:style w:type="character" w:styleId="706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707" w:customStyle="1">
    <w:name w:val="Заголовок 4 Знак"/>
    <w:link w:val="695"/>
    <w:uiPriority w:val="9"/>
    <w:rPr>
      <w:rFonts w:ascii="Arial" w:hAnsi="Arial" w:eastAsia="Arial" w:cs="Arial"/>
      <w:b/>
      <w:bCs/>
      <w:sz w:val="26"/>
      <w:szCs w:val="26"/>
    </w:rPr>
  </w:style>
  <w:style w:type="character" w:styleId="708" w:customStyle="1">
    <w:name w:val="Заголовок 5 Знак"/>
    <w:link w:val="696"/>
    <w:uiPriority w:val="9"/>
    <w:rPr>
      <w:rFonts w:ascii="Arial" w:hAnsi="Arial" w:eastAsia="Arial" w:cs="Arial"/>
      <w:b/>
      <w:bCs/>
      <w:sz w:val="24"/>
      <w:szCs w:val="24"/>
    </w:rPr>
  </w:style>
  <w:style w:type="character" w:styleId="709" w:customStyle="1">
    <w:name w:val="Заголовок 6 Знак"/>
    <w:link w:val="697"/>
    <w:uiPriority w:val="9"/>
    <w:rPr>
      <w:rFonts w:ascii="Arial" w:hAnsi="Arial" w:eastAsia="Arial" w:cs="Arial"/>
      <w:b/>
      <w:bCs/>
      <w:sz w:val="22"/>
      <w:szCs w:val="22"/>
    </w:rPr>
  </w:style>
  <w:style w:type="character" w:styleId="710" w:customStyle="1">
    <w:name w:val="Заголовок 7 Знак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1" w:customStyle="1">
    <w:name w:val="Заголовок 8 Знак"/>
    <w:link w:val="699"/>
    <w:uiPriority w:val="9"/>
    <w:rPr>
      <w:rFonts w:ascii="Arial" w:hAnsi="Arial" w:eastAsia="Arial" w:cs="Arial"/>
      <w:i/>
      <w:iCs/>
      <w:sz w:val="22"/>
      <w:szCs w:val="22"/>
    </w:rPr>
  </w:style>
  <w:style w:type="character" w:styleId="712" w:customStyle="1">
    <w:name w:val="Заголовок 9 Знак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13">
    <w:name w:val="List Paragraph"/>
    <w:basedOn w:val="691"/>
    <w:uiPriority w:val="34"/>
    <w:qFormat/>
    <w:pPr>
      <w:ind w:left="720"/>
      <w:contextualSpacing/>
    </w:pPr>
  </w:style>
  <w:style w:type="paragraph" w:styleId="714">
    <w:name w:val="No Spacing"/>
    <w:uiPriority w:val="1"/>
    <w:qFormat/>
    <w:rPr>
      <w:sz w:val="22"/>
      <w:szCs w:val="22"/>
      <w:lang w:eastAsia="en-US"/>
    </w:rPr>
  </w:style>
  <w:style w:type="paragraph" w:styleId="715">
    <w:name w:val="Title"/>
    <w:basedOn w:val="691"/>
    <w:next w:val="691"/>
    <w:link w:val="716"/>
    <w:uiPriority w:val="10"/>
    <w:qFormat/>
    <w:pPr>
      <w:spacing w:before="300"/>
      <w:contextualSpacing/>
    </w:pPr>
    <w:rPr>
      <w:sz w:val="48"/>
      <w:szCs w:val="48"/>
    </w:rPr>
  </w:style>
  <w:style w:type="character" w:styleId="716" w:customStyle="1">
    <w:name w:val="Заголовок Знак"/>
    <w:link w:val="715"/>
    <w:uiPriority w:val="10"/>
    <w:rPr>
      <w:sz w:val="48"/>
      <w:szCs w:val="48"/>
    </w:rPr>
  </w:style>
  <w:style w:type="paragraph" w:styleId="717">
    <w:name w:val="Subtitle"/>
    <w:basedOn w:val="691"/>
    <w:next w:val="691"/>
    <w:link w:val="718"/>
    <w:uiPriority w:val="11"/>
    <w:qFormat/>
    <w:pPr>
      <w:spacing w:before="200"/>
    </w:pPr>
    <w:rPr>
      <w:sz w:val="24"/>
      <w:szCs w:val="24"/>
    </w:rPr>
  </w:style>
  <w:style w:type="character" w:styleId="718" w:customStyle="1">
    <w:name w:val="Подзаголовок Знак"/>
    <w:link w:val="717"/>
    <w:uiPriority w:val="11"/>
    <w:rPr>
      <w:sz w:val="24"/>
      <w:szCs w:val="24"/>
    </w:rPr>
  </w:style>
  <w:style w:type="paragraph" w:styleId="719">
    <w:name w:val="Quote"/>
    <w:basedOn w:val="691"/>
    <w:next w:val="691"/>
    <w:link w:val="720"/>
    <w:uiPriority w:val="29"/>
    <w:qFormat/>
    <w:pPr>
      <w:ind w:left="720" w:right="720"/>
    </w:pPr>
    <w:rPr>
      <w:i/>
    </w:rPr>
  </w:style>
  <w:style w:type="character" w:styleId="720" w:customStyle="1">
    <w:name w:val="Цитата 2 Знак"/>
    <w:link w:val="719"/>
    <w:uiPriority w:val="29"/>
    <w:rPr>
      <w:i/>
    </w:rPr>
  </w:style>
  <w:style w:type="paragraph" w:styleId="721">
    <w:name w:val="Intense Quote"/>
    <w:basedOn w:val="691"/>
    <w:next w:val="691"/>
    <w:link w:val="722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722" w:customStyle="1">
    <w:name w:val="Выделенная цитата Знак"/>
    <w:link w:val="721"/>
    <w:uiPriority w:val="30"/>
    <w:rPr>
      <w:i/>
    </w:rPr>
  </w:style>
  <w:style w:type="paragraph" w:styleId="723">
    <w:name w:val="Header"/>
    <w:basedOn w:val="691"/>
    <w:link w:val="88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24" w:customStyle="1">
    <w:name w:val="Header Char"/>
    <w:uiPriority w:val="99"/>
  </w:style>
  <w:style w:type="paragraph" w:styleId="725">
    <w:name w:val="Footer"/>
    <w:basedOn w:val="691"/>
    <w:link w:val="88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26" w:customStyle="1">
    <w:name w:val="Footer Char"/>
    <w:uiPriority w:val="99"/>
  </w:style>
  <w:style w:type="paragraph" w:styleId="727">
    <w:name w:val="Caption"/>
    <w:basedOn w:val="691"/>
    <w:next w:val="691"/>
    <w:link w:val="728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8" w:customStyle="1">
    <w:name w:val="Название объекта Знак"/>
    <w:link w:val="727"/>
    <w:uiPriority w:val="35"/>
    <w:rPr>
      <w:b/>
      <w:bCs/>
      <w:color w:val="4f81bd" w:themeColor="accent1"/>
      <w:sz w:val="18"/>
      <w:szCs w:val="18"/>
    </w:rPr>
  </w:style>
  <w:style w:type="table" w:styleId="729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36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0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7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  <w:shd w:val="clear" w:color="5d8ac2" w:themeColor="accent1" w:themeTint="EA" w:fill="5d8a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  <w:shd w:val="clear" w:color="9abb59" w:themeColor="accent3" w:themeTint="FE" w:fill="9abb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4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</w:style>
  <w:style w:type="table" w:styleId="76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styleId="76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</w:style>
  <w:style w:type="table" w:styleId="76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</w:style>
  <w:style w:type="table" w:styleId="76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</w:style>
  <w:style w:type="table" w:styleId="76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</w:style>
  <w:style w:type="table" w:styleId="77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</w:style>
  <w:style w:type="table" w:styleId="77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7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5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9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695" w:themeColor="accent2" w:themeTint="97" w:sz="32" w:space="0"/>
          <w:bottom w:val="single" w:color="FFFFFF" w:themeColor="light1" w:sz="12" w:space="0"/>
        </w:tcBorders>
        <w:shd w:val="clear" w:color="d99695" w:themeColor="accent2" w:themeTint="97" w:fill="d99695" w:themeFill="accent2" w:themeFillTint="97"/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B" w:themeColor="accent3" w:themeTint="98" w:sz="32" w:space="0"/>
          <w:bottom w:val="single" w:color="FFFFFF" w:themeColor="light1" w:sz="12" w:space="0"/>
        </w:tcBorders>
        <w:shd w:val="clear" w:color="c3d69b" w:themeColor="accent3" w:themeTint="98" w:fill="c3d69b" w:themeFill="accent3" w:themeFillTint="98"/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7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4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5">
    <w:name w:val="Hyperlink"/>
    <w:uiPriority w:val="99"/>
    <w:unhideWhenUsed/>
    <w:rPr>
      <w:color w:val="0000ff" w:themeColor="hyperlink"/>
      <w:u w:val="single"/>
    </w:rPr>
  </w:style>
  <w:style w:type="paragraph" w:styleId="856">
    <w:name w:val="footnote text"/>
    <w:basedOn w:val="691"/>
    <w:link w:val="857"/>
    <w:uiPriority w:val="99"/>
    <w:semiHidden/>
    <w:unhideWhenUsed/>
    <w:pPr>
      <w:spacing w:after="40" w:line="240" w:lineRule="auto"/>
    </w:pPr>
    <w:rPr>
      <w:sz w:val="18"/>
    </w:rPr>
  </w:style>
  <w:style w:type="character" w:styleId="857" w:customStyle="1">
    <w:name w:val="Текст сноски Знак"/>
    <w:link w:val="856"/>
    <w:uiPriority w:val="99"/>
    <w:rPr>
      <w:sz w:val="18"/>
    </w:rPr>
  </w:style>
  <w:style w:type="character" w:styleId="858">
    <w:name w:val="footnote reference"/>
    <w:uiPriority w:val="99"/>
    <w:unhideWhenUsed/>
    <w:rPr>
      <w:vertAlign w:val="superscript"/>
    </w:rPr>
  </w:style>
  <w:style w:type="paragraph" w:styleId="859">
    <w:name w:val="endnote text"/>
    <w:basedOn w:val="691"/>
    <w:link w:val="860"/>
    <w:uiPriority w:val="99"/>
    <w:semiHidden/>
    <w:unhideWhenUsed/>
    <w:pPr>
      <w:spacing w:after="0" w:line="240" w:lineRule="auto"/>
    </w:pPr>
    <w:rPr>
      <w:sz w:val="20"/>
    </w:rPr>
  </w:style>
  <w:style w:type="character" w:styleId="860" w:customStyle="1">
    <w:name w:val="Текст концевой сноски Знак"/>
    <w:link w:val="859"/>
    <w:uiPriority w:val="99"/>
    <w:rPr>
      <w:sz w:val="20"/>
    </w:rPr>
  </w:style>
  <w:style w:type="character" w:styleId="861">
    <w:name w:val="endnote reference"/>
    <w:uiPriority w:val="99"/>
    <w:semiHidden/>
    <w:unhideWhenUsed/>
    <w:rPr>
      <w:vertAlign w:val="superscript"/>
    </w:rPr>
  </w:style>
  <w:style w:type="paragraph" w:styleId="862">
    <w:name w:val="toc 1"/>
    <w:basedOn w:val="691"/>
    <w:next w:val="691"/>
    <w:uiPriority w:val="39"/>
    <w:unhideWhenUsed/>
    <w:pPr>
      <w:spacing w:after="57"/>
    </w:pPr>
  </w:style>
  <w:style w:type="paragraph" w:styleId="863">
    <w:name w:val="toc 2"/>
    <w:basedOn w:val="691"/>
    <w:next w:val="691"/>
    <w:uiPriority w:val="39"/>
    <w:unhideWhenUsed/>
    <w:pPr>
      <w:spacing w:after="57"/>
      <w:ind w:left="283"/>
    </w:pPr>
  </w:style>
  <w:style w:type="paragraph" w:styleId="864">
    <w:name w:val="toc 3"/>
    <w:basedOn w:val="691"/>
    <w:next w:val="691"/>
    <w:uiPriority w:val="39"/>
    <w:unhideWhenUsed/>
    <w:pPr>
      <w:spacing w:after="57"/>
      <w:ind w:left="567"/>
    </w:pPr>
  </w:style>
  <w:style w:type="paragraph" w:styleId="865">
    <w:name w:val="toc 4"/>
    <w:basedOn w:val="691"/>
    <w:next w:val="691"/>
    <w:uiPriority w:val="39"/>
    <w:unhideWhenUsed/>
    <w:pPr>
      <w:spacing w:after="57"/>
      <w:ind w:left="850"/>
    </w:pPr>
  </w:style>
  <w:style w:type="paragraph" w:styleId="866">
    <w:name w:val="toc 5"/>
    <w:basedOn w:val="691"/>
    <w:next w:val="691"/>
    <w:uiPriority w:val="39"/>
    <w:unhideWhenUsed/>
    <w:pPr>
      <w:spacing w:after="57"/>
      <w:ind w:left="1134"/>
    </w:pPr>
  </w:style>
  <w:style w:type="paragraph" w:styleId="867">
    <w:name w:val="toc 6"/>
    <w:basedOn w:val="691"/>
    <w:next w:val="691"/>
    <w:uiPriority w:val="39"/>
    <w:unhideWhenUsed/>
    <w:pPr>
      <w:spacing w:after="57"/>
      <w:ind w:left="1417"/>
    </w:pPr>
  </w:style>
  <w:style w:type="paragraph" w:styleId="868">
    <w:name w:val="toc 7"/>
    <w:basedOn w:val="691"/>
    <w:next w:val="691"/>
    <w:uiPriority w:val="39"/>
    <w:unhideWhenUsed/>
    <w:pPr>
      <w:spacing w:after="57"/>
      <w:ind w:left="1701"/>
    </w:pPr>
  </w:style>
  <w:style w:type="paragraph" w:styleId="869">
    <w:name w:val="toc 8"/>
    <w:basedOn w:val="691"/>
    <w:next w:val="691"/>
    <w:uiPriority w:val="39"/>
    <w:unhideWhenUsed/>
    <w:pPr>
      <w:spacing w:after="57"/>
      <w:ind w:left="1984"/>
    </w:pPr>
  </w:style>
  <w:style w:type="paragraph" w:styleId="870">
    <w:name w:val="toc 9"/>
    <w:basedOn w:val="691"/>
    <w:next w:val="691"/>
    <w:uiPriority w:val="39"/>
    <w:unhideWhenUsed/>
    <w:pPr>
      <w:spacing w:after="57"/>
      <w:ind w:left="2268"/>
    </w:pPr>
  </w:style>
  <w:style w:type="paragraph" w:styleId="871">
    <w:name w:val="TOC Heading"/>
    <w:uiPriority w:val="39"/>
    <w:unhideWhenUsed/>
  </w:style>
  <w:style w:type="paragraph" w:styleId="872">
    <w:name w:val="table of figures"/>
    <w:basedOn w:val="691"/>
    <w:next w:val="691"/>
    <w:uiPriority w:val="99"/>
    <w:unhideWhenUsed/>
    <w:pPr>
      <w:spacing w:after="0"/>
    </w:pPr>
  </w:style>
  <w:style w:type="character" w:styleId="873" w:customStyle="1">
    <w:name w:val="Заголовок 1 Знак"/>
    <w:link w:val="692"/>
    <w:uiPriority w:val="9"/>
    <w:rPr>
      <w:rFonts w:ascii="Cambria" w:hAnsi="Cambria" w:eastAsia="Times New Roman" w:cs="Times New Roman"/>
      <w:color w:val="365f91"/>
      <w:sz w:val="32"/>
      <w:szCs w:val="32"/>
    </w:rPr>
  </w:style>
  <w:style w:type="character" w:styleId="874" w:customStyle="1">
    <w:name w:val="Заголовок 2 Знак"/>
    <w:link w:val="693"/>
    <w:uiPriority w:val="9"/>
    <w:rPr>
      <w:rFonts w:ascii="Cambria" w:hAnsi="Cambria" w:eastAsia="Times New Roman" w:cs="Times New Roman"/>
      <w:color w:val="365f91"/>
      <w:sz w:val="26"/>
      <w:szCs w:val="26"/>
    </w:rPr>
  </w:style>
  <w:style w:type="character" w:styleId="875" w:customStyle="1">
    <w:name w:val="Заголовок 3 Знак"/>
    <w:link w:val="694"/>
    <w:uiPriority w:val="9"/>
    <w:rPr>
      <w:rFonts w:ascii="Cambria" w:hAnsi="Cambria" w:eastAsia="Times New Roman" w:cs="Times New Roman"/>
      <w:color w:val="243f60"/>
      <w:sz w:val="24"/>
      <w:szCs w:val="24"/>
    </w:rPr>
  </w:style>
  <w:style w:type="character" w:styleId="876">
    <w:name w:val="annotation reference"/>
    <w:uiPriority w:val="99"/>
    <w:unhideWhenUsed/>
    <w:rPr>
      <w:sz w:val="16"/>
      <w:szCs w:val="16"/>
    </w:rPr>
  </w:style>
  <w:style w:type="paragraph" w:styleId="877">
    <w:name w:val="Balloon Text"/>
    <w:basedOn w:val="691"/>
    <w:link w:val="878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78" w:customStyle="1">
    <w:name w:val="Текст выноски Знак"/>
    <w:link w:val="877"/>
    <w:uiPriority w:val="99"/>
    <w:semiHidden/>
    <w:rPr>
      <w:rFonts w:ascii="Tahoma" w:hAnsi="Tahoma" w:cs="Tahoma"/>
      <w:sz w:val="16"/>
      <w:szCs w:val="16"/>
    </w:rPr>
  </w:style>
  <w:style w:type="paragraph" w:styleId="879">
    <w:name w:val="Body Text Indent 3"/>
    <w:basedOn w:val="691"/>
    <w:link w:val="880"/>
    <w:pPr>
      <w:spacing w:after="0" w:line="240" w:lineRule="auto"/>
      <w:jc w:val="center"/>
    </w:pPr>
    <w:rPr>
      <w:rFonts w:eastAsia="Times New Roman"/>
      <w:sz w:val="24"/>
      <w:szCs w:val="20"/>
      <w:lang w:eastAsia="ru-RU"/>
    </w:rPr>
  </w:style>
  <w:style w:type="character" w:styleId="880" w:customStyle="1">
    <w:name w:val="Основной текст с отступом 3 Знак"/>
    <w:link w:val="879"/>
    <w:rPr>
      <w:rFonts w:eastAsia="Times New Roman"/>
      <w:sz w:val="24"/>
    </w:rPr>
  </w:style>
  <w:style w:type="paragraph" w:styleId="881">
    <w:name w:val="annotation text"/>
    <w:basedOn w:val="691"/>
    <w:link w:val="882"/>
    <w:uiPriority w:val="99"/>
    <w:unhideWhenUsed/>
    <w:pPr>
      <w:spacing w:line="240" w:lineRule="auto"/>
    </w:pPr>
    <w:rPr>
      <w:sz w:val="20"/>
      <w:szCs w:val="20"/>
    </w:rPr>
  </w:style>
  <w:style w:type="character" w:styleId="882" w:customStyle="1">
    <w:name w:val="Текст примечания Знак"/>
    <w:link w:val="881"/>
    <w:uiPriority w:val="99"/>
    <w:semiHidden/>
    <w:rPr>
      <w:sz w:val="20"/>
      <w:szCs w:val="20"/>
    </w:rPr>
  </w:style>
  <w:style w:type="paragraph" w:styleId="883">
    <w:name w:val="annotation subject"/>
    <w:basedOn w:val="881"/>
    <w:next w:val="881"/>
    <w:link w:val="884"/>
    <w:uiPriority w:val="99"/>
    <w:unhideWhenUsed/>
    <w:rPr>
      <w:b/>
      <w:bCs/>
    </w:rPr>
  </w:style>
  <w:style w:type="character" w:styleId="884" w:customStyle="1">
    <w:name w:val="Тема примечания Знак"/>
    <w:link w:val="883"/>
    <w:uiPriority w:val="99"/>
    <w:semiHidden/>
    <w:rPr>
      <w:b/>
      <w:bCs/>
      <w:sz w:val="20"/>
      <w:szCs w:val="20"/>
    </w:rPr>
  </w:style>
  <w:style w:type="character" w:styleId="885" w:customStyle="1">
    <w:name w:val="Верхний колонтитул Знак"/>
    <w:link w:val="723"/>
    <w:uiPriority w:val="99"/>
    <w:rPr>
      <w:sz w:val="22"/>
      <w:szCs w:val="22"/>
      <w:lang w:eastAsia="en-US"/>
    </w:rPr>
  </w:style>
  <w:style w:type="character" w:styleId="886" w:customStyle="1">
    <w:name w:val="Нижний колонтитул Знак"/>
    <w:link w:val="725"/>
    <w:uiPriority w:val="99"/>
    <w:rPr>
      <w:sz w:val="22"/>
      <w:szCs w:val="22"/>
      <w:lang w:eastAsia="en-US"/>
    </w:rPr>
  </w:style>
  <w:style w:type="paragraph" w:styleId="887" w:customStyle="1">
    <w:name w:val="Обычный (веб)"/>
    <w:basedOn w:val="691"/>
    <w:unhideWhenUsed/>
    <w:qFormat/>
    <w:pPr>
      <w:spacing w:after="0" w:line="240" w:lineRule="auto"/>
      <w:jc w:val="center"/>
    </w:pPr>
    <w:rPr>
      <w:rFonts w:eastAsia="Times New Roman"/>
      <w:sz w:val="24"/>
      <w:szCs w:val="20"/>
      <w:lang w:eastAsia="ru-RU"/>
    </w:rPr>
  </w:style>
  <w:style w:type="paragraph" w:styleId="888" w:customStyle="1">
    <w:name w:val="ConsPlusNormal"/>
    <w:link w:val="889"/>
    <w:qFormat/>
    <w:pPr>
      <w:widowControl w:val="off"/>
    </w:pPr>
    <w:rPr>
      <w:rFonts w:ascii="Arial" w:hAnsi="Arial" w:eastAsia="Times New Roman" w:cs="Arial"/>
    </w:rPr>
  </w:style>
  <w:style w:type="character" w:styleId="889" w:customStyle="1">
    <w:name w:val="ConsPlusNormal Знак"/>
    <w:link w:val="888"/>
    <w:rPr>
      <w:rFonts w:ascii="Arial" w:hAnsi="Arial" w:eastAsia="Times New Roman" w:cs="Arial"/>
    </w:rPr>
  </w:style>
  <w:style w:type="paragraph" w:styleId="890" w:customStyle="1">
    <w:name w:val="ConsPlusTitle"/>
    <w:pPr>
      <w:widowControl w:val="off"/>
    </w:pPr>
    <w:rPr>
      <w:rFonts w:ascii="Arial" w:hAnsi="Arial" w:eastAsia="Times New Roman" w:cs="Arial"/>
      <w:b/>
    </w:rPr>
  </w:style>
  <w:style w:type="paragraph" w:styleId="891">
    <w:name w:val="Revision"/>
    <w:uiPriority w:val="99"/>
    <w:semiHidden/>
    <w:rPr>
      <w:sz w:val="22"/>
      <w:szCs w:val="22"/>
      <w:lang w:eastAsia="en-US"/>
    </w:rPr>
  </w:style>
  <w:style w:type="character" w:styleId="892" w:customStyle="1">
    <w:name w:val="font21"/>
    <w:rPr>
      <w:rFonts w:ascii="Times New Roman" w:hAnsi="Times New Roman" w:cs="Times New Roman"/>
      <w:i w:val="0"/>
      <w:iCs w:val="0"/>
      <w:color w:val="000000"/>
      <w:u w:val="none"/>
    </w:rPr>
  </w:style>
  <w:style w:type="character" w:styleId="893" w:customStyle="1">
    <w:name w:val="font41"/>
    <w:rPr>
      <w:rFonts w:ascii="Times New Roman" w:hAnsi="Times New Roman" w:cs="Times New Roman"/>
      <w:i w:val="0"/>
      <w:iCs w:val="0"/>
      <w:color w:val="000000"/>
      <w:u w:val="none"/>
    </w:rPr>
  </w:style>
  <w:style w:type="character" w:styleId="894" w:customStyle="1">
    <w:name w:val="font11"/>
    <w:rPr>
      <w:rFonts w:ascii="Times New Roman" w:hAnsi="Times New Roman" w:cs="Times New Roman"/>
      <w:i w:val="0"/>
      <w:iCs w:val="0"/>
      <w:color w:val="000000"/>
      <w:u w:val="none"/>
    </w:rPr>
  </w:style>
  <w:style w:type="character" w:styleId="895" w:customStyle="1">
    <w:name w:val="font31"/>
    <w:rPr>
      <w:rFonts w:ascii="Calibri" w:hAnsi="Calibri" w:cs="Calibri"/>
      <w:color w:val="000000"/>
      <w:u w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*</Company>
  <DocSecurity>4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Голубкова Елен</dc:creator>
  <cp:lastModifiedBy>KononenkoOE</cp:lastModifiedBy>
  <cp:revision>10</cp:revision>
  <dcterms:created xsi:type="dcterms:W3CDTF">2025-10-15T09:06:00Z</dcterms:created>
  <dcterms:modified xsi:type="dcterms:W3CDTF">2025-12-29T03:59:04Z</dcterms:modified>
</cp:coreProperties>
</file>